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6770C" w14:textId="4964F784" w:rsidR="009D3B5A" w:rsidRPr="009D3B5A" w:rsidRDefault="00D60577" w:rsidP="009D3B5A">
      <w:pPr>
        <w:spacing w:after="120" w:line="240" w:lineRule="auto"/>
        <w:jc w:val="both"/>
        <w:rPr>
          <w:rFonts w:ascii="Tahoma" w:hAnsi="Tahoma" w:cs="Tahoma"/>
          <w:b/>
          <w:caps/>
          <w:sz w:val="20"/>
          <w:szCs w:val="20"/>
          <w:lang w:val="el-GR"/>
        </w:rPr>
      </w:pPr>
      <w:r>
        <w:rPr>
          <w:rFonts w:ascii="Tahoma" w:hAnsi="Tahoma" w:cs="Tahoma"/>
          <w:b/>
          <w:caps/>
          <w:sz w:val="20"/>
          <w:szCs w:val="20"/>
          <w:lang w:val="el-GR"/>
        </w:rPr>
        <w:t>εισηγησεισ προς τη γενικη συνελευση</w:t>
      </w:r>
    </w:p>
    <w:p w14:paraId="4DF1D25D" w14:textId="77777777" w:rsidR="009D3B5A" w:rsidRPr="009D3B5A" w:rsidRDefault="009D3B5A" w:rsidP="009D3B5A">
      <w:pPr>
        <w:spacing w:after="120"/>
        <w:jc w:val="both"/>
        <w:rPr>
          <w:rFonts w:ascii="Tahoma" w:hAnsi="Tahoma" w:cs="Tahoma"/>
          <w:sz w:val="20"/>
          <w:szCs w:val="20"/>
          <w:lang w:val="el-GR"/>
        </w:rPr>
      </w:pPr>
    </w:p>
    <w:p w14:paraId="51200CCE" w14:textId="77777777" w:rsidR="009D3B5A" w:rsidRPr="009D3B5A" w:rsidRDefault="009D3B5A" w:rsidP="009D3B5A">
      <w:pPr>
        <w:spacing w:after="120"/>
        <w:jc w:val="both"/>
        <w:rPr>
          <w:rFonts w:ascii="Tahoma" w:hAnsi="Tahoma" w:cs="Tahoma"/>
          <w:b/>
          <w:sz w:val="20"/>
          <w:szCs w:val="20"/>
          <w:lang w:val="el-GR"/>
        </w:rPr>
      </w:pPr>
      <w:r w:rsidRPr="009D3B5A">
        <w:rPr>
          <w:rFonts w:ascii="Tahoma" w:hAnsi="Tahoma" w:cs="Tahoma"/>
          <w:b/>
          <w:sz w:val="20"/>
          <w:szCs w:val="20"/>
          <w:lang w:val="el-GR"/>
        </w:rPr>
        <w:t>1.  Ο Πρόεδρος του Διοικητικού Συμβουλίου προς τους κ.κ. Συνεταίρους</w:t>
      </w:r>
    </w:p>
    <w:p w14:paraId="55981E91" w14:textId="77777777" w:rsidR="009D3B5A" w:rsidRPr="009D3B5A" w:rsidRDefault="009D3B5A" w:rsidP="009D3B5A">
      <w:pPr>
        <w:spacing w:after="120"/>
        <w:jc w:val="both"/>
        <w:rPr>
          <w:rFonts w:ascii="Tahoma" w:hAnsi="Tahoma" w:cs="Tahoma"/>
          <w:sz w:val="20"/>
          <w:szCs w:val="20"/>
          <w:lang w:val="el-GR"/>
        </w:rPr>
      </w:pPr>
      <w:r w:rsidRPr="009D3B5A">
        <w:rPr>
          <w:rFonts w:ascii="Tahoma" w:hAnsi="Tahoma" w:cs="Tahoma"/>
          <w:sz w:val="20"/>
          <w:szCs w:val="20"/>
          <w:lang w:val="el-GR"/>
        </w:rPr>
        <w:t>Κυρίες και κύριοι Συνέταιροι,</w:t>
      </w:r>
    </w:p>
    <w:p w14:paraId="47D97173" w14:textId="77777777" w:rsidR="009D3B5A" w:rsidRPr="009D3B5A" w:rsidRDefault="009D3B5A" w:rsidP="009D3B5A">
      <w:pPr>
        <w:spacing w:after="120"/>
        <w:jc w:val="both"/>
        <w:rPr>
          <w:rFonts w:ascii="Tahoma" w:hAnsi="Tahoma" w:cs="Tahoma"/>
          <w:sz w:val="20"/>
          <w:szCs w:val="20"/>
          <w:lang w:val="el-GR"/>
        </w:rPr>
      </w:pPr>
      <w:r w:rsidRPr="009D3B5A">
        <w:rPr>
          <w:rFonts w:ascii="Tahoma" w:hAnsi="Tahoma" w:cs="Tahoma"/>
          <w:sz w:val="20"/>
          <w:szCs w:val="20"/>
          <w:lang w:val="el-GR"/>
        </w:rPr>
        <w:t xml:space="preserve">Σε μια περίοδο που η ελληνική οικονομία έβρισκε σιγά σιγά τον βηματισμό της και προχωρούσε σε αυξημένους ρυθμούς ανάπτυξης βελτιώνοντας μεγέθη όπως η ανεργία, οι εξαγωγές, η οικονομική δραστηριότητα, η εγχώρια ζήτηση και ο τουρισμός, η πανδημία </w:t>
      </w:r>
      <w:proofErr w:type="spellStart"/>
      <w:r w:rsidRPr="00D23046">
        <w:rPr>
          <w:rFonts w:ascii="Tahoma" w:hAnsi="Tahoma" w:cs="Tahoma"/>
          <w:sz w:val="20"/>
          <w:szCs w:val="20"/>
        </w:rPr>
        <w:t>Covid</w:t>
      </w:r>
      <w:proofErr w:type="spellEnd"/>
      <w:r w:rsidRPr="009D3B5A">
        <w:rPr>
          <w:rFonts w:ascii="Tahoma" w:hAnsi="Tahoma" w:cs="Tahoma"/>
          <w:sz w:val="20"/>
          <w:szCs w:val="20"/>
          <w:lang w:val="el-GR"/>
        </w:rPr>
        <w:t xml:space="preserve">-19 ανατρέπει το υπάρχον πλαίσιο και αυξάνει την αβεβαιότητα. Χαρακτηριστικό των επιπτώσεων της πανδημίας είναι το γεγονός ότι η αναμενόμενη οικονομική κρίση θα αφορά όλες τις οικονομίες παγκοσμίως, ενώ αναμένεται να υπάρξουν από τις κυβερνήσεις και τους υπερεθνικούς οργανισμούς σημαντικές παρεμβάσεις στήριξης με δημόσιο χρήμα. </w:t>
      </w:r>
    </w:p>
    <w:p w14:paraId="7BE21B45" w14:textId="77777777" w:rsidR="009D3B5A" w:rsidRPr="009D3B5A" w:rsidRDefault="009D3B5A" w:rsidP="009D3B5A">
      <w:pPr>
        <w:spacing w:after="120"/>
        <w:jc w:val="both"/>
        <w:rPr>
          <w:rFonts w:ascii="Tahoma" w:hAnsi="Tahoma" w:cs="Tahoma"/>
          <w:sz w:val="20"/>
          <w:szCs w:val="20"/>
          <w:lang w:val="el-GR"/>
        </w:rPr>
      </w:pPr>
      <w:r w:rsidRPr="009D3B5A">
        <w:rPr>
          <w:rFonts w:ascii="Tahoma" w:hAnsi="Tahoma" w:cs="Tahoma"/>
          <w:sz w:val="20"/>
          <w:szCs w:val="20"/>
          <w:lang w:val="el-GR"/>
        </w:rPr>
        <w:t xml:space="preserve">Επομένως δεν είναι ακόμη δυνατή μια πρόβλεψη των εξελίξεων, αν και χάρι στην επιτυχημένη διαχείριση του πρώτου κύματος του </w:t>
      </w:r>
      <w:proofErr w:type="spellStart"/>
      <w:r w:rsidRPr="009D3B5A">
        <w:rPr>
          <w:rFonts w:ascii="Tahoma" w:hAnsi="Tahoma" w:cs="Tahoma"/>
          <w:sz w:val="20"/>
          <w:szCs w:val="20"/>
          <w:lang w:val="el-GR"/>
        </w:rPr>
        <w:t>κορωνοϊού</w:t>
      </w:r>
      <w:proofErr w:type="spellEnd"/>
      <w:r w:rsidRPr="009D3B5A">
        <w:rPr>
          <w:rFonts w:ascii="Tahoma" w:hAnsi="Tahoma" w:cs="Tahoma"/>
          <w:sz w:val="20"/>
          <w:szCs w:val="20"/>
          <w:lang w:val="el-GR"/>
        </w:rPr>
        <w:t xml:space="preserve"> δεν υπήρξε κρίση εμπιστοσύνης στο ελληνικό κράτος και επακόλουθα στο τραπεζικό σύστημα, ενώ το </w:t>
      </w:r>
      <w:r w:rsidRPr="00D23046">
        <w:rPr>
          <w:rFonts w:ascii="Tahoma" w:hAnsi="Tahoma" w:cs="Tahoma"/>
          <w:sz w:val="20"/>
          <w:szCs w:val="20"/>
        </w:rPr>
        <w:t>lockdown</w:t>
      </w:r>
      <w:r w:rsidRPr="009D3B5A">
        <w:rPr>
          <w:rFonts w:ascii="Tahoma" w:hAnsi="Tahoma" w:cs="Tahoma"/>
          <w:sz w:val="20"/>
          <w:szCs w:val="20"/>
          <w:lang w:val="el-GR"/>
        </w:rPr>
        <w:t xml:space="preserve"> διατηρήθηκε για μικρό σχετικό διάστημα, με αποτέλεσμα τομείς όπως ο τουρισμός να έχουν την δυνατότητα να καλύψουν ένα μέρος των απωλειών. </w:t>
      </w:r>
    </w:p>
    <w:p w14:paraId="2C3D25BF" w14:textId="77777777" w:rsidR="009D3B5A" w:rsidRPr="009D3B5A" w:rsidRDefault="009D3B5A" w:rsidP="009D3B5A">
      <w:pPr>
        <w:spacing w:after="120"/>
        <w:jc w:val="both"/>
        <w:rPr>
          <w:rFonts w:ascii="Tahoma" w:hAnsi="Tahoma" w:cs="Tahoma"/>
          <w:b/>
          <w:sz w:val="20"/>
          <w:szCs w:val="20"/>
          <w:lang w:val="el-GR"/>
        </w:rPr>
      </w:pPr>
      <w:r w:rsidRPr="009D3B5A">
        <w:rPr>
          <w:rFonts w:ascii="Tahoma" w:hAnsi="Tahoma" w:cs="Tahoma"/>
          <w:b/>
          <w:sz w:val="20"/>
          <w:szCs w:val="20"/>
          <w:lang w:val="el-GR"/>
        </w:rPr>
        <w:t xml:space="preserve">Η Τράπεζά μας αύξησε και στη χρήση 2019 τα μεγέθη, τις εργασίες και την κερδοφορία της. Το υπόλοιπο των καταθέσεων πελατών αυξήθηκε κατά 9 εκατομμύρια ευρώ, μια αύξηση της τάξης του 5% σε σχέση με την προηγούμενη χρήση. Με τα δεδομένα αυτά η Τράπεζα έχει καλύψει το μεγαλύτερο μέρος των απωλειών του 2015, λόγω της αρνητικής επίδρασης των καταστάσεων που οδήγησαν στα </w:t>
      </w:r>
      <w:r w:rsidRPr="00D23046">
        <w:rPr>
          <w:rFonts w:ascii="Tahoma" w:hAnsi="Tahoma" w:cs="Tahoma"/>
          <w:b/>
          <w:sz w:val="20"/>
          <w:szCs w:val="20"/>
        </w:rPr>
        <w:t>capital</w:t>
      </w:r>
      <w:r w:rsidRPr="009D3B5A">
        <w:rPr>
          <w:rFonts w:ascii="Tahoma" w:hAnsi="Tahoma" w:cs="Tahoma"/>
          <w:b/>
          <w:sz w:val="20"/>
          <w:szCs w:val="20"/>
          <w:lang w:val="el-GR"/>
        </w:rPr>
        <w:t xml:space="preserve"> </w:t>
      </w:r>
      <w:r w:rsidRPr="00D23046">
        <w:rPr>
          <w:rFonts w:ascii="Tahoma" w:hAnsi="Tahoma" w:cs="Tahoma"/>
          <w:b/>
          <w:sz w:val="20"/>
          <w:szCs w:val="20"/>
        </w:rPr>
        <w:t>controls</w:t>
      </w:r>
      <w:r w:rsidRPr="009D3B5A">
        <w:rPr>
          <w:rFonts w:ascii="Tahoma" w:hAnsi="Tahoma" w:cs="Tahoma"/>
          <w:b/>
          <w:sz w:val="20"/>
          <w:szCs w:val="20"/>
          <w:lang w:val="el-GR"/>
        </w:rPr>
        <w:t>. Σημαντική ήταν η αύξηση των χορηγήσεων προς τους πελάτες, ανερχόμενη στα 9 εκατ. ευρώ και σε ποσοστό 4%. Σημειώνεται επίσης η μεγάλη αύξηση των ταμειακών ισοδυνάμων ανερχόμενη σε 38% σε σχέση με το προηγούμενο έτος, η οποία αποτυπώνει την υψηλή ρευστότητα της Τράπεζας, όπως καταγράφεται με την υπερκάλυψη των σχετικών εποπτικών δεικτών καθ’ όλο το έτος.</w:t>
      </w:r>
    </w:p>
    <w:p w14:paraId="40DDD7A5" w14:textId="77777777" w:rsidR="009D3B5A" w:rsidRPr="009D3B5A" w:rsidRDefault="009D3B5A" w:rsidP="009D3B5A">
      <w:pPr>
        <w:spacing w:after="120"/>
        <w:jc w:val="both"/>
        <w:rPr>
          <w:rFonts w:ascii="Tahoma" w:hAnsi="Tahoma" w:cs="Tahoma"/>
          <w:sz w:val="20"/>
          <w:szCs w:val="20"/>
          <w:lang w:val="el-GR"/>
        </w:rPr>
      </w:pPr>
      <w:r w:rsidRPr="009D3B5A">
        <w:rPr>
          <w:rFonts w:ascii="Tahoma" w:hAnsi="Tahoma" w:cs="Tahoma"/>
          <w:sz w:val="20"/>
          <w:szCs w:val="20"/>
          <w:lang w:val="el-GR"/>
        </w:rPr>
        <w:t xml:space="preserve">Τα έσοδα προμηθειών αυξήθηκαν σε σχέση με την προηγούμενη χρήση, αποτυπώνοντας την ποιοτική και ποσοτική διεύρυνση των λοιπών τραπεζικών εργασιών.  Η αξιοποίηση από το πελατολόγιο της Τράπεζας μας των συστημάτων πληρωμών ΔΙΑΣ, της χρήσης των πιστωτικών καρτών, του </w:t>
      </w:r>
      <w:r w:rsidRPr="00D23046">
        <w:rPr>
          <w:rFonts w:ascii="Tahoma" w:hAnsi="Tahoma" w:cs="Tahoma"/>
          <w:sz w:val="20"/>
          <w:szCs w:val="20"/>
        </w:rPr>
        <w:t>internet</w:t>
      </w:r>
      <w:r w:rsidRPr="009D3B5A">
        <w:rPr>
          <w:rFonts w:ascii="Tahoma" w:hAnsi="Tahoma" w:cs="Tahoma"/>
          <w:sz w:val="20"/>
          <w:szCs w:val="20"/>
          <w:lang w:val="el-GR"/>
        </w:rPr>
        <w:t xml:space="preserve"> </w:t>
      </w:r>
      <w:r w:rsidRPr="00D23046">
        <w:rPr>
          <w:rFonts w:ascii="Tahoma" w:hAnsi="Tahoma" w:cs="Tahoma"/>
          <w:sz w:val="20"/>
          <w:szCs w:val="20"/>
        </w:rPr>
        <w:t>banking</w:t>
      </w:r>
      <w:r w:rsidRPr="009D3B5A">
        <w:rPr>
          <w:rFonts w:ascii="Tahoma" w:hAnsi="Tahoma" w:cs="Tahoma"/>
          <w:sz w:val="20"/>
          <w:szCs w:val="20"/>
          <w:lang w:val="el-GR"/>
        </w:rPr>
        <w:t xml:space="preserve">, των συσκευών </w:t>
      </w:r>
      <w:r w:rsidRPr="00D23046">
        <w:rPr>
          <w:rFonts w:ascii="Tahoma" w:hAnsi="Tahoma" w:cs="Tahoma"/>
          <w:sz w:val="20"/>
          <w:szCs w:val="20"/>
        </w:rPr>
        <w:t>POS</w:t>
      </w:r>
      <w:r w:rsidRPr="009D3B5A">
        <w:rPr>
          <w:rFonts w:ascii="Tahoma" w:hAnsi="Tahoma" w:cs="Tahoma"/>
          <w:sz w:val="20"/>
          <w:szCs w:val="20"/>
          <w:lang w:val="el-GR"/>
        </w:rPr>
        <w:t xml:space="preserve"> από τους εμπόρους που συνεργάζονται μαζί μας, μαζί με τις «κλασικές» εργασίες, όπως οι εγγυητικές επιστολές, η διαχείριση των επιταγών </w:t>
      </w:r>
      <w:proofErr w:type="spellStart"/>
      <w:r w:rsidRPr="009D3B5A">
        <w:rPr>
          <w:rFonts w:ascii="Tahoma" w:hAnsi="Tahoma" w:cs="Tahoma"/>
          <w:sz w:val="20"/>
          <w:szCs w:val="20"/>
          <w:lang w:val="el-GR"/>
        </w:rPr>
        <w:t>κλπ</w:t>
      </w:r>
      <w:proofErr w:type="spellEnd"/>
      <w:r w:rsidRPr="009D3B5A">
        <w:rPr>
          <w:rFonts w:ascii="Tahoma" w:hAnsi="Tahoma" w:cs="Tahoma"/>
          <w:sz w:val="20"/>
          <w:szCs w:val="20"/>
          <w:lang w:val="el-GR"/>
        </w:rPr>
        <w:t>, οδήγησαν σ’ αυτή τη θετική πορεία. Αναμένεται ότι με την νέα τραπεζική εφαρμογή θα δοθούν νέες δυνατότητες στην εξυπηρέτηση των πελατών με αποτέλεσμα να διευρυνθούν οι εργασίες και τα έσοδα.</w:t>
      </w:r>
    </w:p>
    <w:p w14:paraId="19A6A4D1" w14:textId="77777777" w:rsidR="009D3B5A" w:rsidRPr="009D3B5A" w:rsidRDefault="009D3B5A" w:rsidP="009D3B5A">
      <w:pPr>
        <w:spacing w:after="120"/>
        <w:jc w:val="both"/>
        <w:rPr>
          <w:rFonts w:ascii="Tahoma" w:hAnsi="Tahoma" w:cs="Tahoma"/>
          <w:b/>
          <w:sz w:val="20"/>
          <w:szCs w:val="20"/>
          <w:lang w:val="el-GR"/>
        </w:rPr>
      </w:pPr>
      <w:r w:rsidRPr="009D3B5A">
        <w:rPr>
          <w:rFonts w:ascii="Tahoma" w:hAnsi="Tahoma" w:cs="Tahoma"/>
          <w:b/>
          <w:sz w:val="20"/>
          <w:szCs w:val="20"/>
          <w:lang w:val="el-GR"/>
        </w:rPr>
        <w:t xml:space="preserve">Όλα τα επιμέρους μεγέθη των αποτελεσμάτων (καθαρά έσοδα από τόκους, καθαρά έσοδα προμηθειών, συνολικά καθαρά έσοδα, αποτέλεσμα εκμετάλλευσης, αποτέλεσμα προ φόρων, και αποτέλεσμα μετά από φόρους) είναι θετικά στην τρέχουσα χρήση. Η καθαρή κερδοφορία προ φόρων της Τράπεζας ανήλθε στα 1,44 εκατομμύρια ευρώ, αυξημένη κατά 16% σε σχέση με το αποτέλεσμα της προηγούμενης χρήσης. Το αποτέλεσμα αυτό επιτεύχθηκε παρά τις υψηλές για ακόμη φορά προβλέψεις χορηγήσεων, οφειλόμενες στο χαρτοφυλάκιο των καθυστερημένων δανείων, που δημιουργήθηκε από την κρίση . </w:t>
      </w:r>
    </w:p>
    <w:p w14:paraId="290DB188" w14:textId="77777777" w:rsidR="009D3B5A" w:rsidRPr="009D3B5A" w:rsidRDefault="009D3B5A" w:rsidP="009D3B5A">
      <w:pPr>
        <w:spacing w:after="120"/>
        <w:jc w:val="both"/>
        <w:rPr>
          <w:rFonts w:ascii="Tahoma" w:hAnsi="Tahoma" w:cs="Tahoma"/>
          <w:sz w:val="20"/>
          <w:szCs w:val="20"/>
          <w:lang w:val="el-GR"/>
        </w:rPr>
      </w:pPr>
      <w:r w:rsidRPr="009D3B5A">
        <w:rPr>
          <w:rFonts w:ascii="Tahoma" w:hAnsi="Tahoma" w:cs="Tahoma"/>
          <w:sz w:val="20"/>
          <w:szCs w:val="20"/>
          <w:lang w:val="el-GR"/>
        </w:rPr>
        <w:lastRenderedPageBreak/>
        <w:t>Μετά την κερδοφορία η καθαρή θέση της Τράπεζας αυξήθηκε στα 14,6 εκατομμύρια ευρώ αυξημένα σε σχέση με την προηγούμενη χρήση κατά 20%. Η αύξηση προέρχεται κατά 1 εκατομμύριο περίπου από τα κέρδη της χρήσης και κατά 1,4 από τις εισφορές στο κεφάλαιο των συνεταίρων. Επισημαίνεται η ιδιαίτερα επιτυχημένη αύξηση κεφαλαίου με ειδική τιμή που έγινε τον Οκτώβρη του 2016 και εισέφερε συνεταιριστικό κεφάλαιο της τάξης των 900 χιλιάδων ευρώ.</w:t>
      </w:r>
    </w:p>
    <w:p w14:paraId="0D606C73" w14:textId="77777777" w:rsidR="009D3B5A" w:rsidRPr="009D3B5A" w:rsidRDefault="009D3B5A" w:rsidP="009D3B5A">
      <w:pPr>
        <w:spacing w:after="120"/>
        <w:jc w:val="both"/>
        <w:rPr>
          <w:rFonts w:ascii="Tahoma" w:hAnsi="Tahoma" w:cs="Tahoma"/>
          <w:sz w:val="20"/>
          <w:szCs w:val="20"/>
          <w:lang w:val="el-GR"/>
        </w:rPr>
      </w:pPr>
      <w:r w:rsidRPr="009D3B5A">
        <w:rPr>
          <w:rFonts w:ascii="Tahoma" w:hAnsi="Tahoma" w:cs="Tahoma"/>
          <w:sz w:val="20"/>
          <w:szCs w:val="20"/>
          <w:lang w:val="el-GR"/>
        </w:rPr>
        <w:t>Σημαντική ήταν στη χρήση 2019 η ενίσχυση των εποπτικών κεφαλαίων της Τράπεζας, μέσω δύο εκδόσεων ομολόγων. Η έκδοση του ομολόγου μειωμένης εξασφάλισης ανήλθε στο ποσό των 4,82 εκατομμυρίων ευρώ επιτυγχάνοντας υπερκάλυψη της τάξης του 20%. Το μετατρέψιμο ομόλογο ανήλθε στο ποσό των 500 χιλιάδων ευρώ.</w:t>
      </w:r>
    </w:p>
    <w:p w14:paraId="472D3A8A" w14:textId="77777777" w:rsidR="009D3B5A" w:rsidRPr="009D3B5A" w:rsidRDefault="009D3B5A" w:rsidP="009D3B5A">
      <w:pPr>
        <w:spacing w:after="120"/>
        <w:jc w:val="both"/>
        <w:rPr>
          <w:rFonts w:ascii="Tahoma" w:hAnsi="Tahoma" w:cs="Tahoma"/>
          <w:sz w:val="20"/>
          <w:szCs w:val="20"/>
          <w:lang w:val="el-GR"/>
        </w:rPr>
      </w:pPr>
      <w:r w:rsidRPr="009D3B5A">
        <w:rPr>
          <w:rFonts w:ascii="Tahoma" w:hAnsi="Tahoma" w:cs="Tahoma"/>
          <w:sz w:val="20"/>
          <w:szCs w:val="20"/>
          <w:lang w:val="el-GR"/>
        </w:rPr>
        <w:t xml:space="preserve"> Η διαχείριση των «κόκκινων δανείων», αποτέλεσε και για την προηγούμενη χρήση ένα τα κεντρικά στοιχεία της δράσης μας και η θετική του αντιμετώπιση, κατ’ αρχήν με την αναμενόμενη βελτίωση της ελληνικής οικονομίας καθώς και με τη χρήση μέτρων όπως οι πωλήσεις δανείων και του νέου πλαισίου που διαμορφώθηκε για τους πλειστηριασμούς, θα προσφέρει επιπλέον έσοδα και ρευστότητα, που θα χρησιμοποιηθεί για την ανάπτυξη της Τράπεζας. Σε κάθε περίπτωση είναι εμφανές, ότι μόλις υπάρξει εξομάλυνση στον τομέα αυτό, η κερδοφορία θα εκτοξευθεί .  </w:t>
      </w:r>
    </w:p>
    <w:p w14:paraId="2D2B93E7" w14:textId="77777777" w:rsidR="009D3B5A" w:rsidRPr="009D3B5A" w:rsidRDefault="009D3B5A" w:rsidP="009D3B5A">
      <w:pPr>
        <w:spacing w:after="120"/>
        <w:jc w:val="both"/>
        <w:rPr>
          <w:rFonts w:ascii="Tahoma" w:hAnsi="Tahoma" w:cs="Tahoma"/>
          <w:sz w:val="20"/>
          <w:szCs w:val="20"/>
          <w:lang w:val="el-GR"/>
        </w:rPr>
      </w:pPr>
      <w:r w:rsidRPr="009D3B5A">
        <w:rPr>
          <w:rFonts w:ascii="Tahoma" w:hAnsi="Tahoma" w:cs="Tahoma"/>
          <w:sz w:val="20"/>
          <w:szCs w:val="20"/>
          <w:lang w:val="el-GR"/>
        </w:rPr>
        <w:t>Λειτουργικά η Τράπεζα μας προετοιμάζεται για την εγκατάσταση της νέας τραπεζικής εφαρμογής, η οποία όχι μόνο θα στηρίξει τις υπάρχουσες λειτουργίες της, αλλά θα διευρύνει τις προσόδους λόγω της δυνατότητας προσθήκης νέων εργασιών. Ήδη εντός του 2019 προχωρά από ειδική ομάδα η παραμετροποίηση της εφαρμογής και η μετάπτωση των δεδομένων, ώστε στο τέλος του 2020, να αρχίσει η λειτουργία στο νέο περιβάλλον.</w:t>
      </w:r>
    </w:p>
    <w:p w14:paraId="7BD5E19A" w14:textId="77777777" w:rsidR="009D3B5A" w:rsidRPr="009D3B5A" w:rsidRDefault="009D3B5A" w:rsidP="009D3B5A">
      <w:pPr>
        <w:spacing w:after="120"/>
        <w:jc w:val="both"/>
        <w:rPr>
          <w:rFonts w:ascii="Tahoma" w:hAnsi="Tahoma" w:cs="Tahoma"/>
          <w:sz w:val="20"/>
          <w:szCs w:val="20"/>
          <w:lang w:val="el-GR"/>
        </w:rPr>
      </w:pPr>
      <w:r w:rsidRPr="009D3B5A">
        <w:rPr>
          <w:rFonts w:ascii="Tahoma" w:hAnsi="Tahoma" w:cs="Tahoma"/>
          <w:sz w:val="20"/>
          <w:szCs w:val="20"/>
          <w:lang w:val="el-GR"/>
        </w:rPr>
        <w:t xml:space="preserve">Επίσης η Τράπεζα συμμετέχει σε όλες τις διαδικασίες ψηφιακού μετασχηματισμού που διαμορφώνονται στον τραπεζικό χώρο όπως το </w:t>
      </w:r>
      <w:r w:rsidRPr="00D23046">
        <w:rPr>
          <w:rFonts w:ascii="Tahoma" w:hAnsi="Tahoma" w:cs="Tahoma"/>
          <w:sz w:val="20"/>
          <w:szCs w:val="20"/>
        </w:rPr>
        <w:t>open</w:t>
      </w:r>
      <w:r w:rsidRPr="009D3B5A">
        <w:rPr>
          <w:rFonts w:ascii="Tahoma" w:hAnsi="Tahoma" w:cs="Tahoma"/>
          <w:sz w:val="20"/>
          <w:szCs w:val="20"/>
          <w:lang w:val="el-GR"/>
        </w:rPr>
        <w:t xml:space="preserve"> </w:t>
      </w:r>
      <w:r w:rsidRPr="00D23046">
        <w:rPr>
          <w:rFonts w:ascii="Tahoma" w:hAnsi="Tahoma" w:cs="Tahoma"/>
          <w:sz w:val="20"/>
          <w:szCs w:val="20"/>
        </w:rPr>
        <w:t>banking</w:t>
      </w:r>
      <w:r w:rsidRPr="009D3B5A">
        <w:rPr>
          <w:rFonts w:ascii="Tahoma" w:hAnsi="Tahoma" w:cs="Tahoma"/>
          <w:sz w:val="20"/>
          <w:szCs w:val="20"/>
          <w:lang w:val="el-GR"/>
        </w:rPr>
        <w:t>.</w:t>
      </w:r>
    </w:p>
    <w:p w14:paraId="573CC53C" w14:textId="77777777" w:rsidR="009D3B5A" w:rsidRPr="009D3B5A" w:rsidRDefault="009D3B5A" w:rsidP="009D3B5A">
      <w:pPr>
        <w:spacing w:after="120"/>
        <w:jc w:val="both"/>
        <w:rPr>
          <w:rFonts w:ascii="Tahoma" w:hAnsi="Tahoma" w:cs="Tahoma"/>
          <w:sz w:val="20"/>
          <w:szCs w:val="20"/>
          <w:lang w:val="el-GR"/>
        </w:rPr>
      </w:pPr>
      <w:r w:rsidRPr="009D3B5A">
        <w:rPr>
          <w:rFonts w:ascii="Tahoma" w:hAnsi="Tahoma" w:cs="Tahoma"/>
          <w:sz w:val="20"/>
          <w:szCs w:val="20"/>
          <w:lang w:val="el-GR"/>
        </w:rPr>
        <w:t xml:space="preserve">Όπως έχει επισημανθεί και στο παρελθόν προϋπόθεση για την διεύρυνση των εργασιών της Τράπεζας αποτελεί η στήριξη της σε μια ισχυρή κεφαλαιακή βάση. Για το λόγο αυτό η Τράπεζα θα προχωρήσει στην έκδοση ομολόγων τα οποία αφενός θα ενισχύσουν τα ίδια της κεφάλαια και αφετέρου θα προσφέρουν υψηλά επιτόκια στους επενδυτές που θα συμμετέχουν. </w:t>
      </w:r>
    </w:p>
    <w:p w14:paraId="5167650A" w14:textId="77777777" w:rsidR="009D3B5A" w:rsidRPr="009D3B5A" w:rsidRDefault="009D3B5A" w:rsidP="009D3B5A">
      <w:pPr>
        <w:spacing w:after="120"/>
        <w:jc w:val="both"/>
        <w:rPr>
          <w:rFonts w:ascii="Tahoma" w:hAnsi="Tahoma" w:cs="Tahoma"/>
          <w:sz w:val="20"/>
          <w:szCs w:val="20"/>
          <w:lang w:val="el-GR"/>
        </w:rPr>
      </w:pPr>
      <w:r w:rsidRPr="009D3B5A">
        <w:rPr>
          <w:rFonts w:ascii="Tahoma" w:hAnsi="Tahoma" w:cs="Tahoma"/>
          <w:sz w:val="20"/>
          <w:szCs w:val="20"/>
          <w:lang w:val="el-GR"/>
        </w:rPr>
        <w:t>Κυρίες και κύριοι συνεταίροι,</w:t>
      </w:r>
    </w:p>
    <w:p w14:paraId="069C0D19" w14:textId="77777777" w:rsidR="009D3B5A" w:rsidRPr="009D3B5A" w:rsidRDefault="009D3B5A" w:rsidP="009D3B5A">
      <w:pPr>
        <w:spacing w:after="120"/>
        <w:jc w:val="both"/>
        <w:rPr>
          <w:rFonts w:ascii="Tahoma" w:hAnsi="Tahoma" w:cs="Tahoma"/>
          <w:sz w:val="20"/>
          <w:szCs w:val="20"/>
          <w:lang w:val="el-GR"/>
        </w:rPr>
      </w:pPr>
      <w:r w:rsidRPr="009D3B5A">
        <w:rPr>
          <w:rFonts w:ascii="Tahoma" w:hAnsi="Tahoma" w:cs="Tahoma"/>
          <w:sz w:val="20"/>
          <w:szCs w:val="20"/>
          <w:lang w:val="el-GR"/>
        </w:rPr>
        <w:t>Η Τράπεζα μας κατόρθωσε χωρίς καμία στήριξη από το κράτος να παραμείνει ακόμη και στην κορύφωση της κρίσης ασφαλής, ευέλικτη, φιλική, δική μας.</w:t>
      </w:r>
    </w:p>
    <w:p w14:paraId="2BAF311B" w14:textId="77777777" w:rsidR="009D3B5A" w:rsidRPr="009D3B5A" w:rsidRDefault="009D3B5A" w:rsidP="009D3B5A">
      <w:pPr>
        <w:spacing w:after="120"/>
        <w:jc w:val="both"/>
        <w:rPr>
          <w:rFonts w:ascii="Tahoma" w:hAnsi="Tahoma" w:cs="Tahoma"/>
          <w:sz w:val="20"/>
          <w:szCs w:val="20"/>
          <w:lang w:val="el-GR"/>
        </w:rPr>
      </w:pPr>
      <w:r w:rsidRPr="009D3B5A">
        <w:rPr>
          <w:rFonts w:ascii="Tahoma" w:hAnsi="Tahoma" w:cs="Tahoma"/>
          <w:sz w:val="20"/>
          <w:szCs w:val="20"/>
          <w:lang w:val="el-GR"/>
        </w:rPr>
        <w:t xml:space="preserve">Καλώ λοιπόν όλους τους Θεσσαλούς να συνεργαστούν μαζί της, διασφαλίζοντας άμεση εξυπηρέτηση, φιλικότητα στη συνεργασία και υψηλές αποδόσεις. </w:t>
      </w:r>
    </w:p>
    <w:p w14:paraId="7AFB950C" w14:textId="77777777" w:rsidR="009D3B5A" w:rsidRPr="009D3B5A" w:rsidRDefault="009D3B5A" w:rsidP="009D3B5A">
      <w:pPr>
        <w:spacing w:after="120"/>
        <w:jc w:val="both"/>
        <w:rPr>
          <w:rFonts w:ascii="Tahoma" w:hAnsi="Tahoma" w:cs="Tahoma"/>
          <w:sz w:val="20"/>
          <w:szCs w:val="20"/>
          <w:lang w:val="el-GR"/>
        </w:rPr>
      </w:pPr>
      <w:r w:rsidRPr="009D3B5A">
        <w:rPr>
          <w:rFonts w:ascii="Tahoma" w:hAnsi="Tahoma" w:cs="Tahoma"/>
          <w:sz w:val="20"/>
          <w:szCs w:val="20"/>
          <w:lang w:val="el-GR"/>
        </w:rPr>
        <w:t xml:space="preserve">Καλώ τους καταθέτες να μεταφέρουν πέραν των προθεσμιακών καταθέσεων και τις καταθέσεις ταμιευτηρίου τους στην Τράπεζά μας, διασφαλίζοντας και πολύ υψηλότερες αποδόσεις και λειτουργικότητες όπως οι μεταφορές κεφαλαίων και το </w:t>
      </w:r>
      <w:r w:rsidRPr="00D23046">
        <w:rPr>
          <w:rFonts w:ascii="Tahoma" w:hAnsi="Tahoma" w:cs="Tahoma"/>
          <w:sz w:val="20"/>
          <w:szCs w:val="20"/>
        </w:rPr>
        <w:t>internet</w:t>
      </w:r>
      <w:r w:rsidRPr="009D3B5A">
        <w:rPr>
          <w:rFonts w:ascii="Tahoma" w:hAnsi="Tahoma" w:cs="Tahoma"/>
          <w:sz w:val="20"/>
          <w:szCs w:val="20"/>
          <w:lang w:val="el-GR"/>
        </w:rPr>
        <w:t xml:space="preserve"> </w:t>
      </w:r>
      <w:r w:rsidRPr="00D23046">
        <w:rPr>
          <w:rFonts w:ascii="Tahoma" w:hAnsi="Tahoma" w:cs="Tahoma"/>
          <w:sz w:val="20"/>
          <w:szCs w:val="20"/>
        </w:rPr>
        <w:t>banking</w:t>
      </w:r>
      <w:r w:rsidRPr="009D3B5A">
        <w:rPr>
          <w:rFonts w:ascii="Tahoma" w:hAnsi="Tahoma" w:cs="Tahoma"/>
          <w:sz w:val="20"/>
          <w:szCs w:val="20"/>
          <w:lang w:val="el-GR"/>
        </w:rPr>
        <w:t xml:space="preserve">. </w:t>
      </w:r>
    </w:p>
    <w:p w14:paraId="2091EF10" w14:textId="77777777" w:rsidR="009D3B5A" w:rsidRPr="009D3B5A" w:rsidRDefault="009D3B5A" w:rsidP="009D3B5A">
      <w:pPr>
        <w:spacing w:after="120"/>
        <w:jc w:val="both"/>
        <w:rPr>
          <w:rFonts w:ascii="Tahoma" w:hAnsi="Tahoma" w:cs="Tahoma"/>
          <w:sz w:val="20"/>
          <w:szCs w:val="20"/>
          <w:lang w:val="el-GR"/>
        </w:rPr>
      </w:pPr>
      <w:r w:rsidRPr="009D3B5A">
        <w:rPr>
          <w:rFonts w:ascii="Tahoma" w:hAnsi="Tahoma" w:cs="Tahoma"/>
          <w:sz w:val="20"/>
          <w:szCs w:val="20"/>
          <w:lang w:val="el-GR"/>
        </w:rPr>
        <w:t>Καλώ τους πελάτες της Τράπεζας να διευρύνουν τις τραπεζικές εργασίες πέραν των χορηγήσεων ώστε να κερδίσουν από την άμεση εξυπηρέτηση, τη φιλική συνεργασία και τις μειωμένες προμήθειες.</w:t>
      </w:r>
    </w:p>
    <w:p w14:paraId="198CFC7A" w14:textId="77777777" w:rsidR="009D3B5A" w:rsidRPr="009D3B5A" w:rsidRDefault="009D3B5A" w:rsidP="009D3B5A">
      <w:pPr>
        <w:spacing w:after="120"/>
        <w:jc w:val="both"/>
        <w:rPr>
          <w:rFonts w:ascii="Tahoma" w:hAnsi="Tahoma" w:cs="Tahoma"/>
          <w:sz w:val="20"/>
          <w:szCs w:val="20"/>
          <w:lang w:val="el-GR"/>
        </w:rPr>
      </w:pPr>
      <w:r w:rsidRPr="009D3B5A">
        <w:rPr>
          <w:rFonts w:ascii="Tahoma" w:hAnsi="Tahoma" w:cs="Tahoma"/>
          <w:sz w:val="20"/>
          <w:szCs w:val="20"/>
          <w:lang w:val="el-GR"/>
        </w:rPr>
        <w:t xml:space="preserve">Καλώ για άλλη μια φορά τους πελάτες μας που έχουν αθετήσει τις υποχρεώσεις τους, να έρθουν σε επαφή με τις αρμόδιες υπηρεσίες μας για να βρούμε μια αμοιβαία επωφελή λύση. </w:t>
      </w:r>
    </w:p>
    <w:p w14:paraId="50BE889F" w14:textId="77777777" w:rsidR="009D3B5A" w:rsidRPr="009D3B5A" w:rsidRDefault="009D3B5A" w:rsidP="009D3B5A">
      <w:pPr>
        <w:spacing w:after="120"/>
        <w:jc w:val="both"/>
        <w:rPr>
          <w:rFonts w:ascii="Tahoma" w:hAnsi="Tahoma" w:cs="Tahoma"/>
          <w:sz w:val="20"/>
          <w:szCs w:val="20"/>
          <w:lang w:val="el-GR"/>
        </w:rPr>
      </w:pPr>
      <w:r w:rsidRPr="009D3B5A">
        <w:rPr>
          <w:rFonts w:ascii="Tahoma" w:hAnsi="Tahoma" w:cs="Tahoma"/>
          <w:sz w:val="20"/>
          <w:szCs w:val="20"/>
          <w:lang w:val="el-GR"/>
        </w:rPr>
        <w:lastRenderedPageBreak/>
        <w:t xml:space="preserve">Κυρίως όμως καλώ τα μέλη μας να συμμετάσχουν στην διαδικασία ενίσχυσης των κεφαλαίων που θα λάβει χώρα, επενδύοντας σε μία Τράπεζα που έχει τη δυνατότητα να συμβάλει στην ανάπτυξη της Θεσσαλίας και να προσφέρει υψηλές αποδόσεις στο παρόν και στο μέλλον. </w:t>
      </w:r>
    </w:p>
    <w:p w14:paraId="388C0D5C" w14:textId="77777777" w:rsidR="009D3B5A" w:rsidRPr="009D3B5A" w:rsidRDefault="009D3B5A" w:rsidP="009D3B5A">
      <w:pPr>
        <w:spacing w:after="120"/>
        <w:jc w:val="both"/>
        <w:rPr>
          <w:rFonts w:ascii="Tahoma" w:hAnsi="Tahoma" w:cs="Tahoma"/>
          <w:b/>
          <w:sz w:val="20"/>
          <w:szCs w:val="20"/>
          <w:lang w:val="el-GR"/>
        </w:rPr>
      </w:pPr>
      <w:r w:rsidRPr="009D3B5A">
        <w:rPr>
          <w:rFonts w:ascii="Tahoma" w:hAnsi="Tahoma" w:cs="Tahoma"/>
          <w:b/>
          <w:sz w:val="20"/>
          <w:szCs w:val="20"/>
          <w:lang w:val="el-GR"/>
        </w:rPr>
        <w:t>Η Τράπεζα μας συνεχίζει κερδοφόρα παρά τις επιπτώσεις μιας μοναδική σε ένταση και διάρκεια οικονομικής κρίση της χώρας, προσφέροντας μεγαλύτερες αποδόσεις από τις άλλες τράπεζες στους αποταμιευτές και τους επενδυτές και μικρότερες προμήθειες στους συνεργαζόμενους μαζί της.</w:t>
      </w:r>
    </w:p>
    <w:p w14:paraId="6FE954D7" w14:textId="77777777" w:rsidR="009D3B5A" w:rsidRPr="009D3B5A" w:rsidRDefault="009D3B5A" w:rsidP="009D3B5A">
      <w:pPr>
        <w:spacing w:after="120"/>
        <w:jc w:val="both"/>
        <w:rPr>
          <w:rFonts w:ascii="Tahoma" w:hAnsi="Tahoma" w:cs="Tahoma"/>
          <w:sz w:val="20"/>
          <w:szCs w:val="20"/>
          <w:lang w:val="el-GR"/>
        </w:rPr>
      </w:pPr>
      <w:r w:rsidRPr="009D3B5A">
        <w:rPr>
          <w:rFonts w:ascii="Tahoma" w:hAnsi="Tahoma" w:cs="Tahoma"/>
          <w:b/>
          <w:sz w:val="20"/>
          <w:szCs w:val="20"/>
          <w:lang w:val="el-GR"/>
        </w:rPr>
        <w:t>Η Τράπεζα μας συνεχίζει να βαδίζει στα χνάρια του οράματος των ιδρυτών της αφ’ ενός ενισχύοντας την αποταμίευση των Θεσσαλών και αφετέρου στηρίζοντας τις μικρομεσαίες επιχειρήσεις διατηρώντας πάντα και ενδυναμώνοντας τη βιωσιμότητα μέσα από μια ικανή κερδοφορία η οποία εξασφαλίζει την υγεία των ιδίων κεφαλαίων της και την αυτοδύναμη ανάπτυξη της.</w:t>
      </w:r>
      <w:r w:rsidRPr="009D3B5A">
        <w:rPr>
          <w:rFonts w:ascii="Tahoma" w:hAnsi="Tahoma" w:cs="Tahoma"/>
          <w:sz w:val="20"/>
          <w:szCs w:val="20"/>
          <w:lang w:val="el-GR"/>
        </w:rPr>
        <w:t xml:space="preserve">  </w:t>
      </w:r>
    </w:p>
    <w:p w14:paraId="4693922C" w14:textId="77777777" w:rsidR="009D3B5A" w:rsidRPr="009D3B5A" w:rsidRDefault="009D3B5A" w:rsidP="009D3B5A">
      <w:pPr>
        <w:spacing w:after="120" w:line="240" w:lineRule="auto"/>
        <w:rPr>
          <w:rFonts w:ascii="Tahoma" w:hAnsi="Tahoma" w:cs="Tahoma"/>
          <w:b/>
          <w:caps/>
          <w:sz w:val="20"/>
          <w:szCs w:val="20"/>
          <w:lang w:val="el-GR"/>
        </w:rPr>
      </w:pPr>
      <w:r w:rsidRPr="009D3B5A">
        <w:rPr>
          <w:rFonts w:ascii="Tahoma" w:hAnsi="Tahoma" w:cs="Tahoma"/>
          <w:b/>
          <w:caps/>
          <w:sz w:val="20"/>
          <w:szCs w:val="20"/>
          <w:lang w:val="el-GR"/>
        </w:rPr>
        <w:t>Έκθεση Διαχείρισης του Διοικητικού Συμβουλίου προς τη Γενική  Συνέλευση</w:t>
      </w:r>
    </w:p>
    <w:p w14:paraId="265B6FC3" w14:textId="77777777" w:rsidR="009D3B5A" w:rsidRPr="009D3B5A" w:rsidRDefault="009D3B5A" w:rsidP="009D3B5A">
      <w:p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Η παρούσα ετήσια έκθεση διαχείρισης του Διοικητικού Συμβουλίου η οποία αφορά τη χρήση του έτους 2019, είναι εναρμονισμένη με τις σχετικές διατάξεις των παραγράφων των άρθρων 150 έως 152 του Ν. 4548/2018. Η παρούσα έκθεση απεικονίζει πλήρως και αληθώς τις σχετικές κατά το Νόμο πληροφορίες.</w:t>
      </w:r>
    </w:p>
    <w:p w14:paraId="1CDB5426" w14:textId="77777777" w:rsidR="009D3B5A" w:rsidRPr="009D3B5A" w:rsidRDefault="009D3B5A" w:rsidP="009D3B5A">
      <w:pPr>
        <w:spacing w:after="120" w:line="240" w:lineRule="auto"/>
        <w:ind w:firstLine="425"/>
        <w:jc w:val="both"/>
        <w:rPr>
          <w:rFonts w:ascii="Tahoma" w:hAnsi="Tahoma" w:cs="Tahoma"/>
          <w:bCs/>
          <w:iCs/>
          <w:sz w:val="20"/>
          <w:szCs w:val="20"/>
          <w:lang w:val="el-GR"/>
        </w:rPr>
      </w:pPr>
    </w:p>
    <w:p w14:paraId="2537F426" w14:textId="77777777" w:rsidR="009D3B5A" w:rsidRPr="009D3B5A" w:rsidRDefault="009D3B5A" w:rsidP="009D3B5A">
      <w:pPr>
        <w:spacing w:after="120" w:line="240" w:lineRule="auto"/>
        <w:jc w:val="both"/>
        <w:rPr>
          <w:rFonts w:ascii="Tahoma" w:hAnsi="Tahoma" w:cs="Tahoma"/>
          <w:b/>
          <w:bCs/>
          <w:iCs/>
          <w:sz w:val="20"/>
          <w:szCs w:val="20"/>
          <w:lang w:val="el-GR"/>
        </w:rPr>
      </w:pPr>
      <w:r w:rsidRPr="009D3B5A">
        <w:rPr>
          <w:rFonts w:ascii="Tahoma" w:hAnsi="Tahoma" w:cs="Tahoma"/>
          <w:b/>
          <w:bCs/>
          <w:iCs/>
          <w:sz w:val="20"/>
          <w:szCs w:val="20"/>
          <w:u w:val="single"/>
          <w:lang w:val="el-GR"/>
        </w:rPr>
        <w:t xml:space="preserve">Εξελίξεις στην παγκόσμια οικονομία </w:t>
      </w:r>
    </w:p>
    <w:p w14:paraId="6E9E0E13" w14:textId="77777777" w:rsidR="009D3B5A" w:rsidRPr="009D3B5A" w:rsidRDefault="009D3B5A" w:rsidP="009D3B5A">
      <w:p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 xml:space="preserve">Σύμφωνα με την έκθεση του Διοικητή της Τράπεζας της Ελλάδος για το 2019, </w:t>
      </w:r>
      <w:r w:rsidRPr="00D23046">
        <w:rPr>
          <w:rFonts w:ascii="Tahoma" w:hAnsi="Tahoma" w:cs="Tahoma"/>
          <w:bCs/>
          <w:iCs/>
          <w:sz w:val="20"/>
          <w:szCs w:val="20"/>
        </w:rPr>
        <w:t>o</w:t>
      </w:r>
      <w:r w:rsidRPr="009D3B5A">
        <w:rPr>
          <w:rFonts w:ascii="Tahoma" w:hAnsi="Tahoma" w:cs="Tahoma"/>
          <w:bCs/>
          <w:iCs/>
          <w:sz w:val="20"/>
          <w:szCs w:val="20"/>
          <w:lang w:val="el-GR"/>
        </w:rPr>
        <w:t xml:space="preserve"> ρυθμός αύξησης του παγκόσμιου ΑΕΠ εκτιμάται από το ΔΝΤ ότι επιβραδύνθηκε σημαντικά στο 2,9% το 2019, το χαμηλότερο επίπεδο της τελευταίας δεκαετίας, έναντι 3,6% το 2018. Η έκταση της επιβράδυνσης το 2019 υπήρξε κοινή μεταξύ προηγμένων και αναδυόμενων οικονομιών, ωστόσο οι δεύτερες συνεχίζουν να καταγράφουν σημαντικά υψηλότερο ρυθμό ανόδου του ΑΕΠ. Η υποχώρηση του ρυθμού ανάπτυξης το 2019 οφείλεται στη σημαντική επιβράδυνση της εξωτερικής ζήτησης, η οποία έπληξε τη βιομηχανική παραγωγή, κυρίως κεφαλαιακών αγαθών, σε πολλές προηγμένες και αναδυόμενες οικονομίες, ως αποτέλεσμα των εντάσεων στο διεθνές εμπόριο και της σημαντικής υποχώρησης του όγκου του, ιδίως για τις αναδυόμενες και αναπτυσσόμενες οικονομίες. Εντούτοις, η διατήρηση αρκετά ισχυρής δραστηριότητας στον τομέα των υπηρεσιών, ιδιαίτερα στις προηγμένες οικονομίες, σε ένα περιβάλλον ευνοϊκών χρηματοπιστωτικών συνθηκών, αντιστάθμισε μερικώς την αρνητική επίδραση από την υποχώρηση της βιομηχανικής παραγωγής και των εξαγωγών και συνέβαλε στην ενίσχυση της απασχόλησης. Η επιβράδυνση της παγκόσμιας οικονομίας είναι το συνδυαστικό αποτέλεσμα αφενός μεν εξελίξεων σε συγκεκριμένες οικονομίες και σε συγκεκριμένους κλάδους (αυτοκινητοβιομηχανία στη Γερμανία, αβεβαιότητα για τα δημόσια οικονομικά και το χρηματοπιστωτικό σύστημα στην Ιταλία, φυσικές καταστροφές στην Ιαπωνία), αφετέρου δε των γενικότερων αρνητικών προσδοκιών που πηγάζουν τόσο από την κακή πορεία των χρηματοπιστωτικών αγορών το 2018, όσο και από την αβεβαιότητα την οποία προκαλούν οι γεωπολιτικές εντάσεις και ο εν εξελίξει εμπορικός πόλεμος μεταξύ των ΗΠΑ και της Κίνας, σε ένα περιβάλλον ομαλοποίησης της νομισματικής πολιτικής και ανόδου των επιτοκίων του δολαρίου ΗΠΑ.</w:t>
      </w:r>
    </w:p>
    <w:p w14:paraId="408ED88D" w14:textId="77777777" w:rsidR="009D3B5A" w:rsidRPr="009D3B5A" w:rsidRDefault="009D3B5A" w:rsidP="009D3B5A">
      <w:p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 xml:space="preserve">Οι προβλέψεις για το 2020, πριν την εξάπλωση του ιού, περιέγραφαν επιτάχυνση του παγκόσμιου ΑΕΠ, αλλά απόκλιση των εξελίξεων μεταξύ προηγμένων και αναδυόμενων οικονομιών. Στις πρώτες προβλεπόταν περαιτέρω οριακή επιβράδυνση της οικονομικής δραστηριότητας, ενώ στις δεύτερες σημαντική επιτάχυνση. Ωστόσο, η εμφάνιση του νέου </w:t>
      </w:r>
      <w:proofErr w:type="spellStart"/>
      <w:r w:rsidRPr="009D3B5A">
        <w:rPr>
          <w:rFonts w:ascii="Tahoma" w:hAnsi="Tahoma" w:cs="Tahoma"/>
          <w:bCs/>
          <w:iCs/>
          <w:sz w:val="20"/>
          <w:szCs w:val="20"/>
          <w:lang w:val="el-GR"/>
        </w:rPr>
        <w:t>κορωνοϊού</w:t>
      </w:r>
      <w:proofErr w:type="spellEnd"/>
      <w:r w:rsidRPr="009D3B5A">
        <w:rPr>
          <w:rFonts w:ascii="Tahoma" w:hAnsi="Tahoma" w:cs="Tahoma"/>
          <w:bCs/>
          <w:iCs/>
          <w:sz w:val="20"/>
          <w:szCs w:val="20"/>
          <w:lang w:val="el-GR"/>
        </w:rPr>
        <w:t xml:space="preserve"> στην Κίνα τον Ιανουάριο του 2020 και η ταχεία εξάπλωσή του εκτός αυτής αύξησαν εκ νέου την αβεβαιότητα και ανατρέπουν άρδην τις προβλέψεις για ανάκαμψη της διεθνούς οικονομίας το 2020.</w:t>
      </w:r>
    </w:p>
    <w:p w14:paraId="4316778F" w14:textId="77777777" w:rsidR="009D3B5A" w:rsidRPr="009D3B5A" w:rsidRDefault="009D3B5A" w:rsidP="009D3B5A">
      <w:pPr>
        <w:spacing w:after="120" w:line="240" w:lineRule="auto"/>
        <w:ind w:firstLine="425"/>
        <w:jc w:val="both"/>
        <w:rPr>
          <w:rFonts w:ascii="Tahoma" w:hAnsi="Tahoma" w:cs="Tahoma"/>
          <w:bCs/>
          <w:iCs/>
          <w:sz w:val="20"/>
          <w:szCs w:val="20"/>
          <w:lang w:val="el-GR"/>
        </w:rPr>
      </w:pPr>
      <w:r w:rsidRPr="00D23046">
        <w:rPr>
          <w:rFonts w:ascii="Tahoma" w:hAnsi="Tahoma" w:cs="Tahoma"/>
          <w:bCs/>
          <w:iCs/>
          <w:sz w:val="20"/>
          <w:szCs w:val="20"/>
        </w:rPr>
        <w:t> </w:t>
      </w:r>
    </w:p>
    <w:p w14:paraId="4FF576B9" w14:textId="77777777" w:rsidR="009D3B5A" w:rsidRPr="009D3B5A" w:rsidRDefault="009D3B5A" w:rsidP="009D3B5A">
      <w:pPr>
        <w:spacing w:after="120" w:line="240" w:lineRule="auto"/>
        <w:jc w:val="both"/>
        <w:rPr>
          <w:rFonts w:ascii="Tahoma" w:hAnsi="Tahoma" w:cs="Tahoma"/>
          <w:b/>
          <w:bCs/>
          <w:iCs/>
          <w:sz w:val="20"/>
          <w:szCs w:val="20"/>
          <w:lang w:val="el-GR"/>
        </w:rPr>
      </w:pPr>
      <w:r w:rsidRPr="009D3B5A">
        <w:rPr>
          <w:rFonts w:ascii="Tahoma" w:hAnsi="Tahoma" w:cs="Tahoma"/>
          <w:b/>
          <w:bCs/>
          <w:iCs/>
          <w:sz w:val="20"/>
          <w:szCs w:val="20"/>
          <w:u w:val="single"/>
          <w:lang w:val="el-GR"/>
        </w:rPr>
        <w:lastRenderedPageBreak/>
        <w:t>Οικονομικές εξελίξεις στη ζώνη του ευρώ</w:t>
      </w:r>
    </w:p>
    <w:p w14:paraId="16D885E1" w14:textId="77777777" w:rsidR="009D3B5A" w:rsidRPr="009D3B5A" w:rsidRDefault="009D3B5A" w:rsidP="009D3B5A">
      <w:p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 xml:space="preserve">Ο ρυθμός ανάπτυξης στη ζώνη του ευρώ υποχώρησε σημαντικά το 2019, σε μεγάλο βαθμό λόγω της εξασθένησης του παγκόσμιου εμπορίου, και προβλέπεται να επιβραδυνθεί περαιτέρω το 2020, καθώς η θετική επίδραση από την υποχώρηση των κινδύνων των διεθνών εμπορικών διενέξεων </w:t>
      </w:r>
      <w:proofErr w:type="spellStart"/>
      <w:r w:rsidRPr="009D3B5A">
        <w:rPr>
          <w:rFonts w:ascii="Tahoma" w:hAnsi="Tahoma" w:cs="Tahoma"/>
          <w:bCs/>
          <w:iCs/>
          <w:sz w:val="20"/>
          <w:szCs w:val="20"/>
          <w:lang w:val="el-GR"/>
        </w:rPr>
        <w:t>υπεραντισταθμίζεται</w:t>
      </w:r>
      <w:proofErr w:type="spellEnd"/>
      <w:r w:rsidRPr="009D3B5A">
        <w:rPr>
          <w:rFonts w:ascii="Tahoma" w:hAnsi="Tahoma" w:cs="Tahoma"/>
          <w:bCs/>
          <w:iCs/>
          <w:sz w:val="20"/>
          <w:szCs w:val="20"/>
          <w:lang w:val="el-GR"/>
        </w:rPr>
        <w:t xml:space="preserve"> από την αρνητική επίδραση της εξάπλωσης του </w:t>
      </w:r>
      <w:proofErr w:type="spellStart"/>
      <w:r w:rsidRPr="009D3B5A">
        <w:rPr>
          <w:rFonts w:ascii="Tahoma" w:hAnsi="Tahoma" w:cs="Tahoma"/>
          <w:bCs/>
          <w:iCs/>
          <w:sz w:val="20"/>
          <w:szCs w:val="20"/>
          <w:lang w:val="el-GR"/>
        </w:rPr>
        <w:t>κορωνοϊού</w:t>
      </w:r>
      <w:proofErr w:type="spellEnd"/>
      <w:r w:rsidRPr="009D3B5A">
        <w:rPr>
          <w:rFonts w:ascii="Tahoma" w:hAnsi="Tahoma" w:cs="Tahoma"/>
          <w:bCs/>
          <w:iCs/>
          <w:sz w:val="20"/>
          <w:szCs w:val="20"/>
          <w:lang w:val="el-GR"/>
        </w:rPr>
        <w:t>.</w:t>
      </w:r>
    </w:p>
    <w:p w14:paraId="0B94C715" w14:textId="77777777" w:rsidR="009D3B5A" w:rsidRPr="009D3B5A" w:rsidRDefault="009D3B5A" w:rsidP="009D3B5A">
      <w:p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Ο ρυθμός αύξησης του ΑΕΠ διαμορφώθηκε σε 1,2% στο σύνολο του έτους, έναντι 1,9% το 2018. Ο ρυθμός αύξησης του ΑΕΠ εκτιμάται από τον ΟΟΣΑ ότι θα επιβραδυνθεί σε 0,8% το 2020, καθώς αναμένεται ότι θα πληγεί τόσο η εγχώρια όσο και η εξωτερική ζήτηση.</w:t>
      </w:r>
      <w:r w:rsidRPr="00D23046">
        <w:rPr>
          <w:rFonts w:ascii="Tahoma" w:hAnsi="Tahoma" w:cs="Tahoma"/>
          <w:bCs/>
          <w:iCs/>
          <w:sz w:val="20"/>
          <w:szCs w:val="20"/>
        </w:rPr>
        <w:t> </w:t>
      </w:r>
    </w:p>
    <w:p w14:paraId="65A628E6" w14:textId="77777777" w:rsidR="009D3B5A" w:rsidRPr="009D3B5A" w:rsidRDefault="009D3B5A" w:rsidP="009D3B5A">
      <w:p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 xml:space="preserve">Η ανθεκτικότητα της εγχώριας ζήτησης, η οποία στηρίχθηκε στις σχετικά ισχυρές επιδόσεις της αγοράς εργασίας, συνέβαλε στην ανάσχεση της αρνητικής επίδρασης της εξωτερικής ζήτησης το 2019, ενώ η εξωτερική ζήτηση μετά και τις τελευταίες διεθνείς εξελίξεις προβλέπεται να σημειώσει επιδείνωση. Η ιδιωτική κατανάλωση υπήρξε η κινητήρια δύναμη της ανάπτυξης το 2019, στηριζόμενη στην αύξηση της απασχόλησης, μολονότι σε μικρότερο βαθμό σε σύγκριση με την τελευταία διετία, στην αρκετά εύρωστη αύξηση των μισθών, καθώς και στους ευνοϊκούς όρους χορήγησης τραπεζικών δανείων υπό την επίδραση της </w:t>
      </w:r>
      <w:proofErr w:type="spellStart"/>
      <w:r w:rsidRPr="009D3B5A">
        <w:rPr>
          <w:rFonts w:ascii="Tahoma" w:hAnsi="Tahoma" w:cs="Tahoma"/>
          <w:bCs/>
          <w:iCs/>
          <w:sz w:val="20"/>
          <w:szCs w:val="20"/>
          <w:lang w:val="el-GR"/>
        </w:rPr>
        <w:t>διευκολυντικής</w:t>
      </w:r>
      <w:proofErr w:type="spellEnd"/>
      <w:r w:rsidRPr="009D3B5A">
        <w:rPr>
          <w:rFonts w:ascii="Tahoma" w:hAnsi="Tahoma" w:cs="Tahoma"/>
          <w:bCs/>
          <w:iCs/>
          <w:sz w:val="20"/>
          <w:szCs w:val="20"/>
          <w:lang w:val="el-GR"/>
        </w:rPr>
        <w:t xml:space="preserve"> νομισματικής πολιτικής της ΕΚΤ. Επιπλέον, η βελτίωση στην περιουσιακή θέση των νοικοκυριών και η πρόοδος που έχει επιτευχθεί ως προς την </w:t>
      </w:r>
      <w:proofErr w:type="spellStart"/>
      <w:r w:rsidRPr="009D3B5A">
        <w:rPr>
          <w:rFonts w:ascii="Tahoma" w:hAnsi="Tahoma" w:cs="Tahoma"/>
          <w:bCs/>
          <w:iCs/>
          <w:sz w:val="20"/>
          <w:szCs w:val="20"/>
          <w:lang w:val="el-GR"/>
        </w:rPr>
        <w:t>απομόχλευση</w:t>
      </w:r>
      <w:proofErr w:type="spellEnd"/>
      <w:r w:rsidRPr="009D3B5A">
        <w:rPr>
          <w:rFonts w:ascii="Tahoma" w:hAnsi="Tahoma" w:cs="Tahoma"/>
          <w:bCs/>
          <w:iCs/>
          <w:sz w:val="20"/>
          <w:szCs w:val="20"/>
          <w:lang w:val="el-GR"/>
        </w:rPr>
        <w:t xml:space="preserve"> εκτιμάται ότι θα στηρίξουν την κατανάλωση.</w:t>
      </w:r>
    </w:p>
    <w:p w14:paraId="327BE934" w14:textId="77777777" w:rsidR="009D3B5A" w:rsidRPr="009D3B5A" w:rsidRDefault="009D3B5A" w:rsidP="009D3B5A">
      <w:p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 xml:space="preserve">Το 2019, οι δημοσιονομικές εξελίξεις στη ζώνη του ευρώ ως σύνολο, χαρακτηρίστηκαν από τη συνέχιση της αποκλιμάκωσης του δημόσιου χρέους ως ποσοστού του ΑΕΠ, ενώ αντίθετα ανακόπηκε η πτωτική πορεία του δημοσιονομικού ελλείμματος, η οποία υπήρξε το βασικό χαρακτηριστικό των δημοσιονομικών εξελίξεων στη ζώνη του ευρώ την τελευταία δεκαετία. </w:t>
      </w:r>
    </w:p>
    <w:p w14:paraId="56AE4E13" w14:textId="77777777" w:rsidR="009D3B5A" w:rsidRPr="009D3B5A" w:rsidRDefault="009D3B5A" w:rsidP="009D3B5A">
      <w:p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 xml:space="preserve">Η ευρωπαϊκή οικονομία βρίσκεται εν όψει σημαντικών οικονομικών και γεωπολιτικών προκλήσεων. Οι επιπτώσεις από την εξάπλωση του ιού εκτιμάται ότι θα είναι σημαντικές τόσο στη συνολική προσφορά όσο και στη συνολική ζήτηση. Η βιομηχανία, ο τουρισμός και οι μεταφορές θα πληγούν εντός του 2020 σε μια ήδη εύθραυστη οικονομική συγκυρία. Πλην του </w:t>
      </w:r>
      <w:proofErr w:type="spellStart"/>
      <w:r w:rsidRPr="009D3B5A">
        <w:rPr>
          <w:rFonts w:ascii="Tahoma" w:hAnsi="Tahoma" w:cs="Tahoma"/>
          <w:bCs/>
          <w:iCs/>
          <w:sz w:val="20"/>
          <w:szCs w:val="20"/>
          <w:lang w:val="el-GR"/>
        </w:rPr>
        <w:t>κορωνοϊού</w:t>
      </w:r>
      <w:proofErr w:type="spellEnd"/>
      <w:r w:rsidRPr="009D3B5A">
        <w:rPr>
          <w:rFonts w:ascii="Tahoma" w:hAnsi="Tahoma" w:cs="Tahoma"/>
          <w:bCs/>
          <w:iCs/>
          <w:sz w:val="20"/>
          <w:szCs w:val="20"/>
          <w:lang w:val="el-GR"/>
        </w:rPr>
        <w:t xml:space="preserve">, ο μεγαλύτερος κίνδυνος εκτιμάται ότι είναι μια παρατεταμένη περίοδος χαμηλών ρυθμών ανάπτυξης υπό το βάρος της αβεβαιότητας όσον αφορά τις διεθνείς εμπορικές συμφωνίες και συναλλαγές και των επιπτώσεων του </w:t>
      </w:r>
      <w:r w:rsidRPr="00D23046">
        <w:rPr>
          <w:rFonts w:ascii="Tahoma" w:hAnsi="Tahoma" w:cs="Tahoma"/>
          <w:bCs/>
          <w:iCs/>
          <w:sz w:val="20"/>
          <w:szCs w:val="20"/>
        </w:rPr>
        <w:t>Brexit</w:t>
      </w:r>
      <w:r w:rsidRPr="009D3B5A">
        <w:rPr>
          <w:rFonts w:ascii="Tahoma" w:hAnsi="Tahoma" w:cs="Tahoma"/>
          <w:bCs/>
          <w:iCs/>
          <w:sz w:val="20"/>
          <w:szCs w:val="20"/>
          <w:lang w:val="el-GR"/>
        </w:rPr>
        <w:t xml:space="preserve"> (αν και η αβεβαιότητα που συνδέεται με αυτό μάλλον υποχωρεί), αλλά και πιο μακροχρόνιων τάσεων όπως οι επιπτώσεις της γήρανσης του πληθυσμού και ο χαμηλός ρυθμός αύξησης της παραγωγικότητας.</w:t>
      </w:r>
    </w:p>
    <w:p w14:paraId="77F6151A" w14:textId="77777777" w:rsidR="009D3B5A" w:rsidRPr="009D3B5A" w:rsidRDefault="009D3B5A" w:rsidP="009D3B5A">
      <w:pPr>
        <w:spacing w:after="120" w:line="240" w:lineRule="auto"/>
        <w:ind w:firstLine="425"/>
        <w:jc w:val="both"/>
        <w:rPr>
          <w:rFonts w:ascii="Tahoma" w:hAnsi="Tahoma" w:cs="Tahoma"/>
          <w:bCs/>
          <w:iCs/>
          <w:sz w:val="20"/>
          <w:szCs w:val="20"/>
          <w:lang w:val="el-GR"/>
        </w:rPr>
      </w:pPr>
      <w:r w:rsidRPr="00D23046">
        <w:rPr>
          <w:rFonts w:ascii="Tahoma" w:hAnsi="Tahoma" w:cs="Tahoma"/>
          <w:bCs/>
          <w:iCs/>
          <w:sz w:val="20"/>
          <w:szCs w:val="20"/>
        </w:rPr>
        <w:t> </w:t>
      </w:r>
    </w:p>
    <w:p w14:paraId="36947D5B" w14:textId="77777777" w:rsidR="009D3B5A" w:rsidRPr="009D3B5A" w:rsidRDefault="009D3B5A" w:rsidP="009D3B5A">
      <w:pPr>
        <w:spacing w:after="120" w:line="240" w:lineRule="auto"/>
        <w:jc w:val="both"/>
        <w:rPr>
          <w:rFonts w:ascii="Tahoma" w:hAnsi="Tahoma" w:cs="Tahoma"/>
          <w:b/>
          <w:bCs/>
          <w:iCs/>
          <w:sz w:val="20"/>
          <w:szCs w:val="20"/>
          <w:lang w:val="el-GR"/>
        </w:rPr>
      </w:pPr>
      <w:r w:rsidRPr="009D3B5A">
        <w:rPr>
          <w:rFonts w:ascii="Tahoma" w:hAnsi="Tahoma" w:cs="Tahoma"/>
          <w:b/>
          <w:bCs/>
          <w:iCs/>
          <w:sz w:val="20"/>
          <w:szCs w:val="20"/>
          <w:u w:val="single"/>
          <w:lang w:val="el-GR"/>
        </w:rPr>
        <w:t>Εξελίξεις στην ελληνική οικονομία</w:t>
      </w:r>
    </w:p>
    <w:p w14:paraId="7999F016" w14:textId="77777777" w:rsidR="009D3B5A" w:rsidRPr="009D3B5A" w:rsidRDefault="009D3B5A" w:rsidP="009D3B5A">
      <w:p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 xml:space="preserve">Το 2019 η ελληνική οικονομία διατήρησε την αναπτυξιακή δυναμική της, παρά την επιβράδυνση της παγκόσμιας οικονομίας. Για το σύνολο του 2019, το ΑΕΠ αυξήθηκε με ρυθμό 1,9%. Στην ανάπτυξη συνέβαλαν οι εξαγωγές, κυρίως υπηρεσιών (λόγω της σημαντικής ανόδου των τουριστικών εσόδων και των εσόδων από τη ναυτιλία), αλλά και αγαθών. Θετική συμβολή στην άνοδο του ΑΕΠ είχαν εξίσου η ιδιωτική και η δημόσια κατανάλωση, καθώς και οι επενδύσεις.  Αντίθετα, αρνητικά συνέβαλαν οι εισαγωγές αγαθών και υπηρεσιών Αναλυτικότερα, από την πλευρά της ζήτησης, διατηρήθηκε η δυναμική του εξαγωγικού τομέα της οικονομίας, όπως καταγράφεται στην άνοδο του βαθμού εξωστρέφειας της οικονομίας από 48% το 2009 σε 75% το 2019. </w:t>
      </w:r>
    </w:p>
    <w:p w14:paraId="219C68A4" w14:textId="77777777" w:rsidR="009D3B5A" w:rsidRPr="009D3B5A" w:rsidRDefault="009D3B5A" w:rsidP="009D3B5A">
      <w:p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Σε συνθήκες υποχώρησης της παγκόσμιας ζήτησης, ο ρυθμός αύξησης των εξαγωγών αγαθών επιβραδύνθηκε, αλλά παρέμεινε θετικός, ως αποτέλεσμα της βελτίωσης της διεθνούς ανταγωνιστικότητας της χώρας τα τελευταία χρόνια. Παράλληλα, οι εξαγωγές υπηρεσιών συνέχισαν να αυξάνονται με υψηλούς ρυθμούς (10,8%), κυρίως λόγω της συνεχιζόμενης ανόδου των τουριστικών εισπράξεων. Η υλοποίηση διαρθρωτικών μεταρρυθμίσεων, από το 2009 και μετά, οδήγησε στην ενίσχυση των κλάδων που παράγουν διεθνώς εμπορεύσιμα αγαθά και υπηρεσίες, με αποτέλεσμα το μερίδιο των εξαγωγών στο ΑΕΠ να φθάσει στο 37,6% το 2018, από 19% το 2009.</w:t>
      </w:r>
      <w:r w:rsidRPr="00D23046">
        <w:rPr>
          <w:rFonts w:ascii="Tahoma" w:hAnsi="Tahoma" w:cs="Tahoma"/>
          <w:bCs/>
          <w:iCs/>
          <w:sz w:val="20"/>
          <w:szCs w:val="20"/>
        </w:rPr>
        <w:t> </w:t>
      </w:r>
    </w:p>
    <w:p w14:paraId="08671DBE" w14:textId="77777777" w:rsidR="009D3B5A" w:rsidRPr="009D3B5A" w:rsidRDefault="009D3B5A" w:rsidP="009D3B5A">
      <w:p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lastRenderedPageBreak/>
        <w:t xml:space="preserve">Η εγχώρια ζήτηση κινήθηκε με υψηλότερους ρυθμούς σε σχέση με το 2018. Η επενδυτική ζήτηση αυξήθηκε κατά 4,7%, έναντι μείωσης 12,2% το 2018. Η σημαντική αύξηση των επενδύσεων σε μεταφορικό εξοπλισμό και η συνεχιζόμενη άνοδος των επενδύσεων σε κατοικίες αντιστάθμισαν την υποχώρηση των επενδύσεων σε λοιπές κατασκευές (εκτός κατοικιών) </w:t>
      </w:r>
    </w:p>
    <w:p w14:paraId="76ECC468" w14:textId="77777777" w:rsidR="009D3B5A" w:rsidRPr="009D3B5A" w:rsidRDefault="009D3B5A" w:rsidP="009D3B5A">
      <w:p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Από την πλευρά της προσφοράς, η επιτάχυνση της οικονομικής δραστηριότητας προήλθε κυρίως από τον τομέα των υπηρεσιών που συνδέονται με τον τουρισμό, ενώ θετικά συνέβαλε και ο τομέας των κατασκευών, χάρη στην ανάκαμψη της δραστηριότητας κατασκευής κατοικιών. Αντίθετα, η προστιθέμενη αξία της βιομηχανίας υποχώρησε, εξαιτίας της μείωσης της παραγωγής ενέργειας και ενεργειακών αγαθών.</w:t>
      </w:r>
    </w:p>
    <w:p w14:paraId="7437C76F" w14:textId="77777777" w:rsidR="009D3B5A" w:rsidRPr="009D3B5A" w:rsidRDefault="009D3B5A" w:rsidP="009D3B5A">
      <w:p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Ο δείκτης οικονομικού κλίματος βελτιώθηκε σημαντικά στη διάρκεια του 2019 και προσέγγισε τα προ κρίσης επίπεδα, αντανακλώντας την ενισχυμένη εμπιστοσύνη στις προοπτικές της οικονομίας.</w:t>
      </w:r>
    </w:p>
    <w:p w14:paraId="1AEADEB1" w14:textId="77777777" w:rsidR="009D3B5A" w:rsidRPr="009D3B5A" w:rsidRDefault="009D3B5A" w:rsidP="009D3B5A">
      <w:p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Όσον αφορά την αγορά ακινήτων, στη διάρκεια του 2019 καταγράφηκε ενισχυμένο επενδυτικό ενδιαφέρον τόσο για οικιστικές όσο και για επαγγελματικές χρήσεις. Οι τιμές των ακινήτων αυξήθηκαν σημαντικά, αλλά η ζήτηση δεν έχει διαχυθεί στο σύνολο της αγοράς, καθώς εδράζεται κυρίως στην εισροή κεφαλαίων από το εξωτερικό.</w:t>
      </w:r>
    </w:p>
    <w:p w14:paraId="3F6DFF66" w14:textId="77777777" w:rsidR="009D3B5A" w:rsidRPr="009D3B5A" w:rsidRDefault="009D3B5A" w:rsidP="009D3B5A">
      <w:p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Στην αγορά εργασίας, η βελτίωση που καταγράφεται σταθερά από τα μέσα του 2014 συνεχίστηκε και το 2019. Ο αριθμός των απασχολουμένων συνέχισε να αυξάνεται με υψηλό ρυθμό και τ</w:t>
      </w:r>
      <w:r w:rsidRPr="00D23046">
        <w:rPr>
          <w:rFonts w:ascii="Tahoma" w:hAnsi="Tahoma" w:cs="Tahoma"/>
          <w:bCs/>
          <w:iCs/>
          <w:sz w:val="20"/>
          <w:szCs w:val="20"/>
        </w:rPr>
        <w:t>o</w:t>
      </w:r>
      <w:r w:rsidRPr="009D3B5A">
        <w:rPr>
          <w:rFonts w:ascii="Tahoma" w:hAnsi="Tahoma" w:cs="Tahoma"/>
          <w:bCs/>
          <w:iCs/>
          <w:sz w:val="20"/>
          <w:szCs w:val="20"/>
          <w:lang w:val="el-GR"/>
        </w:rPr>
        <w:t xml:space="preserve"> μέσο ποσοστό ανεργίας υποχώρησε σε 17,5%, διατηρώντας τη δυναμική της πτωτικής πορείας του. Οι θετικές αυτές εξελίξεις συνδέονται με την επιτάχυνση της οικονομικής ανάκαμψης, αλλά και με τις διαρθρωτικές μεταρρυθμίσεις των προηγούμενων ετών, οι οποίες περιόρισαν τις δυσκαμψίες στην αγορά εργασίας. Εκτιμάται ότι η εξέλιξη των μεγεθών της αγοράς εργασίας το 2020 θα επηρεαστεί σημαντικά από την επιβράδυνση της οικονομικής δραστηριότητας λόγω της πανδημίας του </w:t>
      </w:r>
      <w:proofErr w:type="spellStart"/>
      <w:r w:rsidRPr="009D3B5A">
        <w:rPr>
          <w:rFonts w:ascii="Tahoma" w:hAnsi="Tahoma" w:cs="Tahoma"/>
          <w:bCs/>
          <w:iCs/>
          <w:sz w:val="20"/>
          <w:szCs w:val="20"/>
          <w:lang w:val="el-GR"/>
        </w:rPr>
        <w:t>κορωνοϊού</w:t>
      </w:r>
      <w:proofErr w:type="spellEnd"/>
      <w:r w:rsidRPr="009D3B5A">
        <w:rPr>
          <w:rFonts w:ascii="Tahoma" w:hAnsi="Tahoma" w:cs="Tahoma"/>
          <w:bCs/>
          <w:iCs/>
          <w:sz w:val="20"/>
          <w:szCs w:val="20"/>
          <w:lang w:val="el-GR"/>
        </w:rPr>
        <w:t>.</w:t>
      </w:r>
    </w:p>
    <w:p w14:paraId="79EBB063" w14:textId="77777777" w:rsidR="009D3B5A" w:rsidRPr="009D3B5A" w:rsidRDefault="009D3B5A" w:rsidP="009D3B5A">
      <w:p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Στη διάρκεια του 2019 ο εναρμονισμένος πληθωρισμός επιβραδύνθηκε (σε 0,5% το 2019 από 0,8% το 2018), αντανακλώντας την υποχώρηση των διεθνών τιμών του πετρελαίου και τις μειώσεις της έμμεσης φορολογίας. Ο πυρήνας του πληθωρισμού παρέμεινε στα ίδια επίπεδα με το 2018. Για το 2020 εκτιμάται ότι ο γενικός πληθωρισμός θα κινηθεί κοντά στο ρυθμό του 2019, αν και η επιβράδυνση της παγκόσμιας οικονομίας αυξάνει τους καθοδικούς κινδύνους.</w:t>
      </w:r>
    </w:p>
    <w:p w14:paraId="61DAB8FA" w14:textId="77777777" w:rsidR="009D3B5A" w:rsidRPr="009D3B5A" w:rsidRDefault="009D3B5A" w:rsidP="009D3B5A">
      <w:p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 xml:space="preserve">Σε ό,τι αφορά τους δείκτες φτώχειας και εισοδηματικής ανισότητας, όπως διαμορφώνονται με βάση τις δειγματοληπτικές έρευνες νοικοκυριών που διεξάγονται ετησίως από την ΕΛΣΤΑΤ, καταγράφηκαν ευνοϊκές εξελίξεις. Ωστόσο, οι αποκλίσεις σε σχέση με το μέσο όρο της ΕΕ-28 είναι σημαντικές. </w:t>
      </w:r>
    </w:p>
    <w:p w14:paraId="1EF74822" w14:textId="77777777" w:rsidR="009D3B5A" w:rsidRPr="009D3B5A" w:rsidRDefault="009D3B5A" w:rsidP="009D3B5A">
      <w:p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 xml:space="preserve">Η διεθνής ανταγωνιστικότητα της ελληνικής οικονομίας βελτιώθηκε σε όρους σχετικών τιμών και σχετικού κόστους εργασίας. Ωστόσο, σε όρους διαρθρωτικής ανταγωνιστικότητας, παρά την πρόοδο που καταγράφεται σε ορισμένους δείκτες ή </w:t>
      </w:r>
      <w:proofErr w:type="spellStart"/>
      <w:r w:rsidRPr="009D3B5A">
        <w:rPr>
          <w:rFonts w:ascii="Tahoma" w:hAnsi="Tahoma" w:cs="Tahoma"/>
          <w:bCs/>
          <w:iCs/>
          <w:sz w:val="20"/>
          <w:szCs w:val="20"/>
          <w:lang w:val="el-GR"/>
        </w:rPr>
        <w:t>υποδείκτες</w:t>
      </w:r>
      <w:proofErr w:type="spellEnd"/>
      <w:r w:rsidRPr="009D3B5A">
        <w:rPr>
          <w:rFonts w:ascii="Tahoma" w:hAnsi="Tahoma" w:cs="Tahoma"/>
          <w:bCs/>
          <w:iCs/>
          <w:sz w:val="20"/>
          <w:szCs w:val="20"/>
          <w:lang w:val="el-GR"/>
        </w:rPr>
        <w:t xml:space="preserve">, η Ελλάδα εξακολουθεί να υπολείπεται σημαντικά από όλες σχεδόν τις προηγμένες χώρες, καθώς και από τις περισσότερες οικονομίες της ΕΕ-28. Προβλήματα όπως η σχετική φορολογία, το συγκριτικό μη μισθολογικό κόστος, το κόστος της ενέργειας, το κόστος χρηματοδότησης, αλλά και το θεσμικό πλαίσιο, κυρίως των </w:t>
      </w:r>
      <w:proofErr w:type="spellStart"/>
      <w:r w:rsidRPr="009D3B5A">
        <w:rPr>
          <w:rFonts w:ascii="Tahoma" w:hAnsi="Tahoma" w:cs="Tahoma"/>
          <w:bCs/>
          <w:iCs/>
          <w:sz w:val="20"/>
          <w:szCs w:val="20"/>
          <w:lang w:val="el-GR"/>
        </w:rPr>
        <w:t>αδειοδοτήσεων</w:t>
      </w:r>
      <w:proofErr w:type="spellEnd"/>
      <w:r w:rsidRPr="009D3B5A">
        <w:rPr>
          <w:rFonts w:ascii="Tahoma" w:hAnsi="Tahoma" w:cs="Tahoma"/>
          <w:bCs/>
          <w:iCs/>
          <w:sz w:val="20"/>
          <w:szCs w:val="20"/>
          <w:lang w:val="el-GR"/>
        </w:rPr>
        <w:t xml:space="preserve"> και της επίλυσης διαφορών, εξακολουθούν να δυσχεραίνουν το εγχώριο επιχειρηματικό και εξαγωγικό περιβάλλον.</w:t>
      </w:r>
    </w:p>
    <w:p w14:paraId="0F96F6C1" w14:textId="77777777" w:rsidR="009D3B5A" w:rsidRPr="009D3B5A" w:rsidRDefault="009D3B5A" w:rsidP="009D3B5A">
      <w:pPr>
        <w:spacing w:after="120" w:line="240" w:lineRule="auto"/>
        <w:ind w:firstLine="425"/>
        <w:jc w:val="both"/>
        <w:rPr>
          <w:rFonts w:ascii="Tahoma" w:hAnsi="Tahoma" w:cs="Tahoma"/>
          <w:bCs/>
          <w:iCs/>
          <w:sz w:val="20"/>
          <w:szCs w:val="20"/>
          <w:lang w:val="el-GR"/>
        </w:rPr>
      </w:pPr>
      <w:r w:rsidRPr="00D23046">
        <w:rPr>
          <w:rFonts w:ascii="Tahoma" w:hAnsi="Tahoma" w:cs="Tahoma"/>
          <w:bCs/>
          <w:iCs/>
          <w:sz w:val="20"/>
          <w:szCs w:val="20"/>
        </w:rPr>
        <w:t> </w:t>
      </w:r>
    </w:p>
    <w:p w14:paraId="2D84F8A5" w14:textId="77777777" w:rsidR="009D3B5A" w:rsidRPr="009D3B5A" w:rsidRDefault="009D3B5A" w:rsidP="009D3B5A">
      <w:pPr>
        <w:spacing w:after="120" w:line="240" w:lineRule="auto"/>
        <w:jc w:val="both"/>
        <w:rPr>
          <w:rFonts w:ascii="Tahoma" w:hAnsi="Tahoma" w:cs="Tahoma"/>
          <w:b/>
          <w:bCs/>
          <w:iCs/>
          <w:sz w:val="20"/>
          <w:szCs w:val="20"/>
          <w:lang w:val="el-GR"/>
        </w:rPr>
      </w:pPr>
      <w:r w:rsidRPr="009D3B5A">
        <w:rPr>
          <w:rFonts w:ascii="Tahoma" w:hAnsi="Tahoma" w:cs="Tahoma"/>
          <w:b/>
          <w:bCs/>
          <w:iCs/>
          <w:sz w:val="20"/>
          <w:szCs w:val="20"/>
          <w:u w:val="single"/>
          <w:lang w:val="el-GR"/>
        </w:rPr>
        <w:t>Εξελίξεις στο ελληνικό τραπεζικό σύστημα</w:t>
      </w:r>
    </w:p>
    <w:p w14:paraId="6143A410" w14:textId="77777777" w:rsidR="009D3B5A" w:rsidRPr="009D3B5A" w:rsidRDefault="009D3B5A" w:rsidP="009D3B5A">
      <w:p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 xml:space="preserve">Το 2019 συντελέστηκε περαιτέρω πρόοδος ως προς τη μείωση του υπολοίπου των μη εξυπηρετούμενων δανείων στους ισολογισμούς των πιστωτικών ιδρυμάτων, που συνιστά τη βασική πρόκληση στο τραπεζικό σύστημα. Η εφαρμογή του σχεδίου “Ηρακλής”, το οποίο έχει καταρτίσει η κυβέρνηση, θα συμβάλει στην ταχύτερη αποκλιμάκωση τους. Το εν λόγω σχέδιο αναμένεται, σε επόμενο στάδιο και αφού αξιολογηθούν τα αποτελέσματά του, να πλαισιωθεί από την εφαρμογή </w:t>
      </w:r>
      <w:r w:rsidRPr="009D3B5A">
        <w:rPr>
          <w:rFonts w:ascii="Tahoma" w:hAnsi="Tahoma" w:cs="Tahoma"/>
          <w:bCs/>
          <w:iCs/>
          <w:sz w:val="20"/>
          <w:szCs w:val="20"/>
          <w:lang w:val="el-GR"/>
        </w:rPr>
        <w:lastRenderedPageBreak/>
        <w:t xml:space="preserve">και άλλων μέτρων ολιστικής προσέγγισης, όπως αυτά που έχει προτείνει στο πρόσφατο παρελθόν η Τράπεζα της Ελλάδος. </w:t>
      </w:r>
    </w:p>
    <w:p w14:paraId="7AF9D6A5" w14:textId="77777777" w:rsidR="009D3B5A" w:rsidRPr="009D3B5A" w:rsidRDefault="009D3B5A" w:rsidP="009D3B5A">
      <w:p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 xml:space="preserve">Όπως και κατά τα προηγούμενα έτη, το 2019 η περιστολή των μη εξυπηρετούμενων δανείων στους τραπεζικούς ισολογισμούς επιτεύχθηκε κυρίως με πωλήσεις και διαγραφές δανείων, ενώ περιορισμένη απόδοση είχαν οι στρατηγικές είσπραξης καθυστερούμενων οφειλών, ρευστοποίησης εξασφαλίσεων και αναδιάρθρωσης δανείων. Επίσης, εξακολούθησε να παρατηρείται το φαινόμενο δανειοδοτήσεις για τις οποίες έχει </w:t>
      </w:r>
      <w:proofErr w:type="spellStart"/>
      <w:r w:rsidRPr="009D3B5A">
        <w:rPr>
          <w:rFonts w:ascii="Tahoma" w:hAnsi="Tahoma" w:cs="Tahoma"/>
          <w:bCs/>
          <w:iCs/>
          <w:sz w:val="20"/>
          <w:szCs w:val="20"/>
          <w:lang w:val="el-GR"/>
        </w:rPr>
        <w:t>συνομολογηθεί</w:t>
      </w:r>
      <w:proofErr w:type="spellEnd"/>
      <w:r w:rsidRPr="009D3B5A">
        <w:rPr>
          <w:rFonts w:ascii="Tahoma" w:hAnsi="Tahoma" w:cs="Tahoma"/>
          <w:bCs/>
          <w:iCs/>
          <w:sz w:val="20"/>
          <w:szCs w:val="20"/>
          <w:lang w:val="el-GR"/>
        </w:rPr>
        <w:t xml:space="preserve"> ρύθμιση για τους δανειολήπτες γρήγορα να περιπίπτουν και πάλι σε καθυστέρηση. Τέλος, όσον αφορά την κερδοφορία και την κεφαλαιακή επάρκεια των τραπεζών, και τα δύο αυτά μεγέθη βελτιώθηκαν το 2019 σε σύγκριση με την αντίστοιχη περίοδο του 2018.</w:t>
      </w:r>
    </w:p>
    <w:p w14:paraId="5DAC7A2A" w14:textId="77777777" w:rsidR="009D3B5A" w:rsidRPr="009D3B5A" w:rsidRDefault="009D3B5A" w:rsidP="009D3B5A">
      <w:p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 xml:space="preserve">Η έστω και μερική </w:t>
      </w:r>
      <w:proofErr w:type="spellStart"/>
      <w:r w:rsidRPr="009D3B5A">
        <w:rPr>
          <w:rFonts w:ascii="Tahoma" w:hAnsi="Tahoma" w:cs="Tahoma"/>
          <w:bCs/>
          <w:iCs/>
          <w:sz w:val="20"/>
          <w:szCs w:val="20"/>
          <w:lang w:val="el-GR"/>
        </w:rPr>
        <w:t>απάλυνση</w:t>
      </w:r>
      <w:proofErr w:type="spellEnd"/>
      <w:r w:rsidRPr="009D3B5A">
        <w:rPr>
          <w:rFonts w:ascii="Tahoma" w:hAnsi="Tahoma" w:cs="Tahoma"/>
          <w:bCs/>
          <w:iCs/>
          <w:sz w:val="20"/>
          <w:szCs w:val="20"/>
          <w:lang w:val="el-GR"/>
        </w:rPr>
        <w:t xml:space="preserve"> του προβλήματος των μη εξυπηρετούμενων δανείων συνέβαλε σε κάποια βελτίωση των συνθηκών τραπεζικής χρηματοδότησης στην ελληνική οικονομία.</w:t>
      </w:r>
    </w:p>
    <w:p w14:paraId="3CD791C6" w14:textId="77777777" w:rsidR="009D3B5A" w:rsidRPr="009D3B5A" w:rsidRDefault="009D3B5A" w:rsidP="009D3B5A">
      <w:p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 xml:space="preserve">Η διαθεσιμότητα τραπεζικής χρηματοδότησης βελτιώθηκε σε σύγκριση με το παρελθόν για τις επιχειρήσεις μεγάλου μεγέθους, όπως και για τις μικρού και μεσαίου μεγέθους, αλλά οι εκταμιεύσεις νέων τραπεζικών δανείων για τις ΜΜΕ συνέχισαν να υπολείπονται των αποπληρωμών των υφιστάμενων χρεών τους προς το τραπεζικό σύστημα (αρνητική καθαρή ροή τραπεζικής χρηματοδότησης). </w:t>
      </w:r>
    </w:p>
    <w:p w14:paraId="35001DB7" w14:textId="77777777" w:rsidR="009D3B5A" w:rsidRPr="009D3B5A" w:rsidRDefault="009D3B5A" w:rsidP="009D3B5A">
      <w:p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 xml:space="preserve">Η αναμενόμενη επιτάχυνση της οικονομικής ανάπτυξης και της εξυγίανσης των ισολογισμών των τραπεζών από μη εξυπηρετούμενα δάνεια θα επιτρέψει η </w:t>
      </w:r>
      <w:proofErr w:type="spellStart"/>
      <w:r w:rsidRPr="009D3B5A">
        <w:rPr>
          <w:rFonts w:ascii="Tahoma" w:hAnsi="Tahoma" w:cs="Tahoma"/>
          <w:bCs/>
          <w:iCs/>
          <w:sz w:val="20"/>
          <w:szCs w:val="20"/>
          <w:lang w:val="el-GR"/>
        </w:rPr>
        <w:t>παρατηρηθείσα</w:t>
      </w:r>
      <w:proofErr w:type="spellEnd"/>
      <w:r w:rsidRPr="009D3B5A">
        <w:rPr>
          <w:rFonts w:ascii="Tahoma" w:hAnsi="Tahoma" w:cs="Tahoma"/>
          <w:bCs/>
          <w:iCs/>
          <w:sz w:val="20"/>
          <w:szCs w:val="20"/>
          <w:lang w:val="el-GR"/>
        </w:rPr>
        <w:t xml:space="preserve"> κατά το 2019 (και το προηγούμενο έτος) αναζωογόνηση της πιστοδότησης των μεγάλων επιχειρήσεων να εξαπλωθεί στις μικρότερες επιχειρήσεις και τελικά και στα νοικοκυριά.</w:t>
      </w:r>
    </w:p>
    <w:p w14:paraId="6080C594" w14:textId="77777777" w:rsidR="009D3B5A" w:rsidRPr="009D3B5A" w:rsidRDefault="009D3B5A" w:rsidP="009D3B5A">
      <w:p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Το 2019 συνεχίστηκε η καθοδική τάση των επιτοκίων τραπεζικής χρηματοδότησης των μη χρηματοπιστωτικών επιχειρήσεων, με μειωμένο όμως ρυθμό σε σύγκριση με το παρελθόν. Μάλιστα, οι μεγαλύτερες μειώσεις αφορούσαν τις σχετικά μικρότερες επιχειρήσεις, αναδεικνύοντας την ευεργετική για το κόστος χρηματοδότησης επίδραση των προγραμμάτων του ομίλου της Ευρωπαϊκής Τράπεζας Επενδύσεων και διαδικασιών αντίστοιχων με αυτές που διενεργούσε στο παρελθόν το ΕΤΕΑΝ. Εντούτοις, σε πραγματικούς όρους το επιτόκιο τραπεζικής χρηματοδότησης των μη χρηματοπιστωτικών επιχειρήσεων αυξήθηκε έναντι του 2018. Αύξηση σημείωσαν επίσης τα ονομαστικά και πραγματικά επιτόκια των στεγαστικών και των καταναλωτικών δανείων και η απόκλισή τους από το μέσο όρο της ζώνης του ευρώ διευρύνθηκε, ιδίως όσον αφορά τη στεγαστική πίστη.</w:t>
      </w:r>
    </w:p>
    <w:p w14:paraId="47289F46" w14:textId="77777777" w:rsidR="009D3B5A" w:rsidRPr="009D3B5A" w:rsidRDefault="009D3B5A" w:rsidP="009D3B5A">
      <w:p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Η εξέλιξη των τραπεζικών καταθέσεων των νοικοκυριών ήταν ευνοϊκότερη το 2019 από ό,τι το 2018, σε συνέπεια με την επιτάχυνση του διαθέσιμου εισοδήματος. Αντιθέτως, η δυναμική των καταθέσεων των μη χρηματοπιστωτικών επιχειρήσεων εξασθένησε, σε συνέπεια με τη μείωση του καθαρού λειτουργικού πλεονάσματος των επιχειρήσεων, και το υπόλοιπο των καταθέσεων της κεντρικής κυβέρνησης στο εγχώριο τραπεζικό σύστημα (εκτός της Τράπεζας της Ελλάδος) υποχώρησε.</w:t>
      </w:r>
    </w:p>
    <w:p w14:paraId="7C731878" w14:textId="77777777" w:rsidR="009D3B5A" w:rsidRDefault="009D3B5A" w:rsidP="009D3B5A">
      <w:p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 xml:space="preserve">Πάντως, οι συνολικές καταθέσεις στο εγχώριο τραπεζικό σύστημα αυξήθηκαν, παρά την περαιτέρω συρρίκνωση της συνολικής πιστωτικής επέκτασης, σε συνέπεια με τις αυξημένες </w:t>
      </w:r>
      <w:proofErr w:type="spellStart"/>
      <w:r w:rsidRPr="009D3B5A">
        <w:rPr>
          <w:rFonts w:ascii="Tahoma" w:hAnsi="Tahoma" w:cs="Tahoma"/>
          <w:bCs/>
          <w:iCs/>
          <w:sz w:val="20"/>
          <w:szCs w:val="20"/>
          <w:lang w:val="el-GR"/>
        </w:rPr>
        <w:t>επανακαταθέσεις</w:t>
      </w:r>
      <w:proofErr w:type="spellEnd"/>
      <w:r w:rsidRPr="009D3B5A">
        <w:rPr>
          <w:rFonts w:ascii="Tahoma" w:hAnsi="Tahoma" w:cs="Tahoma"/>
          <w:bCs/>
          <w:iCs/>
          <w:sz w:val="20"/>
          <w:szCs w:val="20"/>
          <w:lang w:val="el-GR"/>
        </w:rPr>
        <w:t xml:space="preserve"> τραπεζογραμματίων και τον επαναπατρισμό κεφαλαίων τα οποία ήταν </w:t>
      </w:r>
      <w:proofErr w:type="spellStart"/>
      <w:r w:rsidRPr="009D3B5A">
        <w:rPr>
          <w:rFonts w:ascii="Tahoma" w:hAnsi="Tahoma" w:cs="Tahoma"/>
          <w:bCs/>
          <w:iCs/>
          <w:sz w:val="20"/>
          <w:szCs w:val="20"/>
          <w:lang w:val="el-GR"/>
        </w:rPr>
        <w:t>επενδεδυμένα</w:t>
      </w:r>
      <w:proofErr w:type="spellEnd"/>
      <w:r w:rsidRPr="009D3B5A">
        <w:rPr>
          <w:rFonts w:ascii="Tahoma" w:hAnsi="Tahoma" w:cs="Tahoma"/>
          <w:bCs/>
          <w:iCs/>
          <w:sz w:val="20"/>
          <w:szCs w:val="20"/>
          <w:lang w:val="el-GR"/>
        </w:rPr>
        <w:t xml:space="preserve"> σε χρηματοοικονομικά στοιχεία στο εξωτερικό. Η μερική μέχρι στιγμής αποκατάσταση της </w:t>
      </w:r>
      <w:proofErr w:type="spellStart"/>
      <w:r w:rsidRPr="009D3B5A">
        <w:rPr>
          <w:rFonts w:ascii="Tahoma" w:hAnsi="Tahoma" w:cs="Tahoma"/>
          <w:bCs/>
          <w:iCs/>
          <w:sz w:val="20"/>
          <w:szCs w:val="20"/>
          <w:lang w:val="el-GR"/>
        </w:rPr>
        <w:t>καταθετικής</w:t>
      </w:r>
      <w:proofErr w:type="spellEnd"/>
      <w:r w:rsidRPr="009D3B5A">
        <w:rPr>
          <w:rFonts w:ascii="Tahoma" w:hAnsi="Tahoma" w:cs="Tahoma"/>
          <w:bCs/>
          <w:iCs/>
          <w:sz w:val="20"/>
          <w:szCs w:val="20"/>
          <w:lang w:val="el-GR"/>
        </w:rPr>
        <w:t xml:space="preserve"> βάσης των τραπεζών σε επίπεδα </w:t>
      </w:r>
      <w:proofErr w:type="spellStart"/>
      <w:r w:rsidRPr="009D3B5A">
        <w:rPr>
          <w:rFonts w:ascii="Tahoma" w:hAnsi="Tahoma" w:cs="Tahoma"/>
          <w:bCs/>
          <w:iCs/>
          <w:sz w:val="20"/>
          <w:szCs w:val="20"/>
          <w:lang w:val="el-GR"/>
        </w:rPr>
        <w:t>προοδευτικώς</w:t>
      </w:r>
      <w:proofErr w:type="spellEnd"/>
      <w:r w:rsidRPr="009D3B5A">
        <w:rPr>
          <w:rFonts w:ascii="Tahoma" w:hAnsi="Tahoma" w:cs="Tahoma"/>
          <w:bCs/>
          <w:iCs/>
          <w:sz w:val="20"/>
          <w:szCs w:val="20"/>
          <w:lang w:val="el-GR"/>
        </w:rPr>
        <w:t xml:space="preserve"> εγγύτερα προς αυτά που καταγράφονταν πριν από την κρίση επέτρεψε στα πιστωτικά ιδρύματα να τερματίσουν την προσφυγή στον έκτακτο μηχανισμό ρευστότητας της Τράπεζας της Ελλάδος (</w:t>
      </w:r>
      <w:r w:rsidRPr="00D23046">
        <w:rPr>
          <w:rFonts w:ascii="Tahoma" w:hAnsi="Tahoma" w:cs="Tahoma"/>
          <w:bCs/>
          <w:iCs/>
          <w:sz w:val="20"/>
          <w:szCs w:val="20"/>
        </w:rPr>
        <w:t>ELA</w:t>
      </w:r>
      <w:r w:rsidRPr="009D3B5A">
        <w:rPr>
          <w:rFonts w:ascii="Tahoma" w:hAnsi="Tahoma" w:cs="Tahoma"/>
          <w:bCs/>
          <w:iCs/>
          <w:sz w:val="20"/>
          <w:szCs w:val="20"/>
          <w:lang w:val="el-GR"/>
        </w:rPr>
        <w:t xml:space="preserve">), να περιορίσουν την άντληση ρευστότητας μέσω των πράξεων νομισματικής πολιτικής του </w:t>
      </w:r>
      <w:proofErr w:type="spellStart"/>
      <w:r w:rsidRPr="009D3B5A">
        <w:rPr>
          <w:rFonts w:ascii="Tahoma" w:hAnsi="Tahoma" w:cs="Tahoma"/>
          <w:bCs/>
          <w:iCs/>
          <w:sz w:val="20"/>
          <w:szCs w:val="20"/>
          <w:lang w:val="el-GR"/>
        </w:rPr>
        <w:t>Ευρωσυστήματος</w:t>
      </w:r>
      <w:proofErr w:type="spellEnd"/>
      <w:r w:rsidRPr="009D3B5A">
        <w:rPr>
          <w:rFonts w:ascii="Tahoma" w:hAnsi="Tahoma" w:cs="Tahoma"/>
          <w:bCs/>
          <w:iCs/>
          <w:sz w:val="20"/>
          <w:szCs w:val="20"/>
          <w:lang w:val="el-GR"/>
        </w:rPr>
        <w:t xml:space="preserve"> και να συγκρατήσουν την κατ’ έτος υποχώρηση των πιστοδοτήσεων προς την πραγματική οικονομία, αυξάνοντας μάλιστα τις πιστώσεις προς τις επιχειρήσεις.</w:t>
      </w:r>
    </w:p>
    <w:p w14:paraId="4FFD35D9" w14:textId="77777777" w:rsidR="00F11D4D" w:rsidRDefault="00F11D4D" w:rsidP="009D3B5A">
      <w:pPr>
        <w:spacing w:after="120" w:line="240" w:lineRule="auto"/>
        <w:jc w:val="both"/>
        <w:rPr>
          <w:rFonts w:ascii="Tahoma" w:hAnsi="Tahoma" w:cs="Tahoma"/>
          <w:bCs/>
          <w:iCs/>
          <w:sz w:val="20"/>
          <w:szCs w:val="20"/>
          <w:lang w:val="el-GR"/>
        </w:rPr>
      </w:pPr>
    </w:p>
    <w:p w14:paraId="4007B879" w14:textId="77777777" w:rsidR="00F11D4D" w:rsidRPr="009D3B5A" w:rsidRDefault="00F11D4D" w:rsidP="009D3B5A">
      <w:pPr>
        <w:spacing w:after="120" w:line="240" w:lineRule="auto"/>
        <w:jc w:val="both"/>
        <w:rPr>
          <w:rFonts w:ascii="Tahoma" w:hAnsi="Tahoma" w:cs="Tahoma"/>
          <w:bCs/>
          <w:iCs/>
          <w:sz w:val="20"/>
          <w:szCs w:val="20"/>
          <w:lang w:val="el-GR"/>
        </w:rPr>
      </w:pPr>
    </w:p>
    <w:p w14:paraId="4793B9B3" w14:textId="77777777" w:rsidR="009D3B5A" w:rsidRPr="009D3B5A" w:rsidRDefault="009D3B5A" w:rsidP="009D3B5A">
      <w:pPr>
        <w:spacing w:after="120" w:line="240" w:lineRule="auto"/>
        <w:jc w:val="both"/>
        <w:rPr>
          <w:rFonts w:ascii="Tahoma" w:hAnsi="Tahoma" w:cs="Tahoma"/>
          <w:b/>
          <w:bCs/>
          <w:iCs/>
          <w:sz w:val="20"/>
          <w:szCs w:val="20"/>
          <w:lang w:val="el-GR"/>
        </w:rPr>
      </w:pPr>
      <w:r w:rsidRPr="009D3B5A">
        <w:rPr>
          <w:rFonts w:ascii="Tahoma" w:hAnsi="Tahoma" w:cs="Tahoma"/>
          <w:b/>
          <w:bCs/>
          <w:iCs/>
          <w:sz w:val="20"/>
          <w:szCs w:val="20"/>
          <w:u w:val="single"/>
          <w:lang w:val="el-GR"/>
        </w:rPr>
        <w:lastRenderedPageBreak/>
        <w:t xml:space="preserve">Εξελίξεις στη Συνεταιριστική Τράπεζα Θεσσαλίας </w:t>
      </w:r>
    </w:p>
    <w:p w14:paraId="0947EA69" w14:textId="77777777" w:rsidR="009D3B5A" w:rsidRPr="009D3B5A" w:rsidRDefault="009D3B5A" w:rsidP="009D3B5A">
      <w:p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 xml:space="preserve">Σε αυτό το πλαίσιο λειτούργησε η Συνεταιριστική Τράπεζα Θεσσαλίας, κατορθώνοντας να αυξήσει τα βασικά της μεγέθη και την κερδοφορία της. Αύξησε τις καταθέσεις των πελατών της κατά 5% σε σχέση με την προηγούμενη χρήση, με το υπόλοιπο την 31/12/2019 να διαμορφώνεται στα 208 εκατ. ευρώ. Αντίστοιχα συνέχισε την πορεία της πιστωτικής επέκτασης, διαμορφώνοντας υπόλοιπο καθαρών χορηγήσεων αυξημένο κατά 4% σε σχέση με την προηγούμενη χρήση. Τα αποτελέσματα της χρήσης προ φόρων ξεπέρασαν τα 1,4 εκατομμύρια ευρώ, αυξημένα κατά 17% σε σχέση με το προηγούμενο έτος. </w:t>
      </w:r>
    </w:p>
    <w:p w14:paraId="26F88494" w14:textId="77777777" w:rsidR="009D3B5A" w:rsidRPr="009D3B5A" w:rsidRDefault="009D3B5A" w:rsidP="009D3B5A">
      <w:p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Η σημαντική αύξηση των καταθέσεων και η προσεκτική χρήση των κεφαλαίων σε χορηγήσεις, έχει οδηγήσει σε σημαντική αύξηση των ρευστών διαθεσίμων της Τράπεζας. Τα ταμειακά ισοδύναμα (ταμείο και καταθέσεις σε Τράπεζες) έχουν αυξηθεί κατά 38%, υπερκαλύπτοντας τους εποπτικούς δείκτες ρευστότητας (κάλυψης ρευστότητας και καθαρής σταθερής χρηματοδότησης). Η γραμμή χρηματοδότησης που διατηρείται σε συστημική τράπεζα, ανέρχεται στο ποσό των 4 εκατομμυρίων ευρώ για να χρησιμοποιείται σε έκτακτες περιπτώσεις κάλυψης του τρεχούμενου λογαριασμού στην Τράπεζα της Ελλάδος, δε χρησιμοποιήθηκε κατά τη χρήση 2019.</w:t>
      </w:r>
    </w:p>
    <w:p w14:paraId="2702F1B7" w14:textId="77777777" w:rsidR="009D3B5A" w:rsidRPr="009D3B5A" w:rsidRDefault="009D3B5A" w:rsidP="009D3B5A">
      <w:p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Σημαντικό στοιχείο πρόκλησης και για τη χρήση 2019 παρέμεινε το θέμα της διαχείρισης των μη εξυπηρετούμενων ανοιγμάτων, τα οποία ανέρχονται στο 51% του δανειακού χαρτοφυλακίου. Έναντι των απαιτήσεων έχουν ληφθεί προβλέψεις οι οποίες ανέρχονται σε ποσοστό 53%. Η Τράπεζα έχει εντατικοποιήσει τις προσπάθειες αντιμετώπισης του προβληματικού χαρτοφυλακίου, προχωρώντας στη λήψη μέτρων αναγκαστικής εκτέλεσης όπου υπάρχουν σχετικές δυνατότητες. Επίσης προχωρά σε μειώσεις μέσω διαγραφών, ενώ εξετάζει και τη δυνατότητα πώλησης τμημάτων των μη εξυπηρετούμενων ανοιγμάτων. Πέραν των προσπαθειών της Τράπεζας, αναμένονται και οι πρωτοβουλίες που θα αναληφθούν σε αυτό το πλαίσιο από τις Αρχές, όπως εξειδικεύτηκαν με το σχέδιο «Ηρακλής» και τις προτάσεις της Τράπεζας της Ελλάδος, οι οποίες εκτιμάται ότι θα αντιμετωπίσουν το πρόβλημα ριζικά.</w:t>
      </w:r>
    </w:p>
    <w:p w14:paraId="36FFCC0D" w14:textId="77777777" w:rsidR="009D3B5A" w:rsidRPr="009D3B5A" w:rsidRDefault="009D3B5A" w:rsidP="009D3B5A">
      <w:p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Η Τράπεζα εντός του 2018, έλαβε τη σημαντική απόφαση της προμήθειας νέας τραπεζικής μηχανογραφικής εφαρμογής η οποία θα εξασφαλίσει υψηλό επίπεδο λειτουργικότητας, αξιοπιστίας και ασφάλειας. Κατά τη χρήση 2019 προχώρησε η παραμετροποίηση της εφαρμογής και αναμένεται η πλήρης λειτουργία της εντός του έτους 2020.</w:t>
      </w:r>
      <w:r w:rsidRPr="00B019D0">
        <w:rPr>
          <w:rFonts w:ascii="Tahoma" w:hAnsi="Tahoma" w:cs="Tahoma"/>
          <w:bCs/>
          <w:iCs/>
          <w:sz w:val="20"/>
          <w:szCs w:val="20"/>
        </w:rPr>
        <w:t> </w:t>
      </w:r>
    </w:p>
    <w:p w14:paraId="0E43EF02" w14:textId="77777777" w:rsidR="009D3B5A" w:rsidRPr="009D3B5A" w:rsidRDefault="009D3B5A" w:rsidP="009D3B5A">
      <w:pPr>
        <w:spacing w:after="120" w:line="240" w:lineRule="auto"/>
        <w:ind w:firstLine="425"/>
        <w:jc w:val="both"/>
        <w:rPr>
          <w:rFonts w:ascii="Tahoma" w:hAnsi="Tahoma" w:cs="Tahoma"/>
          <w:bCs/>
          <w:iCs/>
          <w:sz w:val="20"/>
          <w:szCs w:val="20"/>
          <w:lang w:val="el-GR"/>
        </w:rPr>
      </w:pPr>
      <w:r w:rsidRPr="00B019D0">
        <w:rPr>
          <w:rFonts w:ascii="Tahoma" w:hAnsi="Tahoma" w:cs="Tahoma"/>
          <w:bCs/>
          <w:iCs/>
          <w:sz w:val="20"/>
          <w:szCs w:val="20"/>
        </w:rPr>
        <w:t> </w:t>
      </w:r>
    </w:p>
    <w:p w14:paraId="5F34E2DC" w14:textId="77777777" w:rsidR="009D3B5A" w:rsidRPr="009D3B5A" w:rsidRDefault="009D3B5A" w:rsidP="009D3B5A">
      <w:pPr>
        <w:spacing w:after="120" w:line="240" w:lineRule="auto"/>
        <w:jc w:val="both"/>
        <w:rPr>
          <w:rFonts w:ascii="Tahoma" w:hAnsi="Tahoma" w:cs="Tahoma"/>
          <w:b/>
          <w:bCs/>
          <w:iCs/>
          <w:sz w:val="20"/>
          <w:szCs w:val="20"/>
          <w:lang w:val="el-GR"/>
        </w:rPr>
      </w:pPr>
      <w:r w:rsidRPr="009D3B5A">
        <w:rPr>
          <w:rFonts w:ascii="Tahoma" w:hAnsi="Tahoma" w:cs="Tahoma"/>
          <w:b/>
          <w:bCs/>
          <w:iCs/>
          <w:sz w:val="20"/>
          <w:szCs w:val="20"/>
          <w:lang w:val="el-GR"/>
        </w:rPr>
        <w:t>Σημαντικότερες δράσεις για τη χρήση 2019</w:t>
      </w:r>
    </w:p>
    <w:p w14:paraId="0AF00889" w14:textId="77777777" w:rsidR="009D3B5A" w:rsidRPr="009D3B5A" w:rsidRDefault="009D3B5A" w:rsidP="009D3B5A">
      <w:p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Σε όλη τη διάρκεια του 2019, η Διοίκηση και οι υπηρεσίες της Τράπεζας ανταπεξήλθαν στα προβλήματα που έθεσε η πραγματικότητα με τις κυριότερες  δραστηριότητες  της για το έτος  να συνοψίζονται στα παρακάτω:</w:t>
      </w:r>
    </w:p>
    <w:p w14:paraId="358437DA" w14:textId="77777777" w:rsidR="009D3B5A" w:rsidRPr="009D3B5A" w:rsidRDefault="009D3B5A" w:rsidP="009D3B5A">
      <w:pPr>
        <w:pStyle w:val="a9"/>
        <w:numPr>
          <w:ilvl w:val="0"/>
          <w:numId w:val="2"/>
        </w:num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 xml:space="preserve">Εντός του 2019 υπογράφτηκε η σύμβαση και προχώρησε η παραμετροποίηση της νέας τραπεζικής εφαρμογής </w:t>
      </w:r>
      <w:r w:rsidRPr="00B019D0">
        <w:rPr>
          <w:rFonts w:ascii="Tahoma" w:hAnsi="Tahoma" w:cs="Tahoma"/>
          <w:bCs/>
          <w:iCs/>
          <w:sz w:val="20"/>
          <w:szCs w:val="20"/>
        </w:rPr>
        <w:t>CSB</w:t>
      </w:r>
      <w:r w:rsidRPr="009D3B5A">
        <w:rPr>
          <w:rFonts w:ascii="Tahoma" w:hAnsi="Tahoma" w:cs="Tahoma"/>
          <w:bCs/>
          <w:iCs/>
          <w:sz w:val="20"/>
          <w:szCs w:val="20"/>
          <w:lang w:val="el-GR"/>
        </w:rPr>
        <w:t xml:space="preserve">2 η οποία θα αποτελέσει το κεντρικό τραπεζικό και λογιστικό σύστημα της Τράπεζας, ενοποιώντας και περιφερειακές εφαρμογές (όπως το </w:t>
      </w:r>
      <w:r w:rsidRPr="00B019D0">
        <w:rPr>
          <w:rFonts w:ascii="Tahoma" w:hAnsi="Tahoma" w:cs="Tahoma"/>
          <w:bCs/>
          <w:iCs/>
          <w:sz w:val="20"/>
          <w:szCs w:val="20"/>
        </w:rPr>
        <w:t>Internet</w:t>
      </w:r>
      <w:r w:rsidRPr="009D3B5A">
        <w:rPr>
          <w:rFonts w:ascii="Tahoma" w:hAnsi="Tahoma" w:cs="Tahoma"/>
          <w:bCs/>
          <w:iCs/>
          <w:sz w:val="20"/>
          <w:szCs w:val="20"/>
          <w:lang w:val="el-GR"/>
        </w:rPr>
        <w:t xml:space="preserve"> </w:t>
      </w:r>
      <w:r w:rsidRPr="00B019D0">
        <w:rPr>
          <w:rFonts w:ascii="Tahoma" w:hAnsi="Tahoma" w:cs="Tahoma"/>
          <w:bCs/>
          <w:iCs/>
          <w:sz w:val="20"/>
          <w:szCs w:val="20"/>
        </w:rPr>
        <w:t>Banking</w:t>
      </w:r>
      <w:r w:rsidRPr="009D3B5A">
        <w:rPr>
          <w:rFonts w:ascii="Tahoma" w:hAnsi="Tahoma" w:cs="Tahoma"/>
          <w:bCs/>
          <w:iCs/>
          <w:sz w:val="20"/>
          <w:szCs w:val="20"/>
          <w:lang w:val="el-GR"/>
        </w:rPr>
        <w:t xml:space="preserve"> και τα συστήματα πληρωμών). </w:t>
      </w:r>
    </w:p>
    <w:p w14:paraId="2C5F75FF" w14:textId="77777777" w:rsidR="009D3B5A" w:rsidRPr="009D3B5A" w:rsidRDefault="009D3B5A" w:rsidP="009D3B5A">
      <w:pPr>
        <w:pStyle w:val="a9"/>
        <w:numPr>
          <w:ilvl w:val="0"/>
          <w:numId w:val="2"/>
        </w:num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 xml:space="preserve">Υλοποιήθηκε σύστημα </w:t>
      </w:r>
      <w:r w:rsidRPr="00B019D0">
        <w:rPr>
          <w:rFonts w:ascii="Tahoma" w:hAnsi="Tahoma" w:cs="Tahoma"/>
          <w:bCs/>
          <w:iCs/>
          <w:sz w:val="20"/>
          <w:szCs w:val="20"/>
        </w:rPr>
        <w:t>Open</w:t>
      </w:r>
      <w:r w:rsidRPr="009D3B5A">
        <w:rPr>
          <w:rFonts w:ascii="Tahoma" w:hAnsi="Tahoma" w:cs="Tahoma"/>
          <w:bCs/>
          <w:iCs/>
          <w:sz w:val="20"/>
          <w:szCs w:val="20"/>
          <w:lang w:val="el-GR"/>
        </w:rPr>
        <w:t xml:space="preserve"> </w:t>
      </w:r>
      <w:r w:rsidRPr="00B019D0">
        <w:rPr>
          <w:rFonts w:ascii="Tahoma" w:hAnsi="Tahoma" w:cs="Tahoma"/>
          <w:bCs/>
          <w:iCs/>
          <w:sz w:val="20"/>
          <w:szCs w:val="20"/>
        </w:rPr>
        <w:t>Banking</w:t>
      </w:r>
      <w:r w:rsidRPr="009D3B5A">
        <w:rPr>
          <w:rFonts w:ascii="Tahoma" w:hAnsi="Tahoma" w:cs="Tahoma"/>
          <w:bCs/>
          <w:iCs/>
          <w:sz w:val="20"/>
          <w:szCs w:val="20"/>
          <w:lang w:val="el-GR"/>
        </w:rPr>
        <w:t xml:space="preserve"> της </w:t>
      </w:r>
      <w:r w:rsidRPr="00B019D0">
        <w:rPr>
          <w:rFonts w:ascii="Tahoma" w:hAnsi="Tahoma" w:cs="Tahoma"/>
          <w:bCs/>
          <w:iCs/>
          <w:sz w:val="20"/>
          <w:szCs w:val="20"/>
        </w:rPr>
        <w:t>Crowd</w:t>
      </w:r>
      <w:r w:rsidRPr="009D3B5A">
        <w:rPr>
          <w:rFonts w:ascii="Tahoma" w:hAnsi="Tahoma" w:cs="Tahoma"/>
          <w:bCs/>
          <w:iCs/>
          <w:sz w:val="20"/>
          <w:szCs w:val="20"/>
          <w:lang w:val="el-GR"/>
        </w:rPr>
        <w:t xml:space="preserve"> </w:t>
      </w:r>
      <w:r w:rsidRPr="00B019D0">
        <w:rPr>
          <w:rFonts w:ascii="Tahoma" w:hAnsi="Tahoma" w:cs="Tahoma"/>
          <w:bCs/>
          <w:iCs/>
          <w:sz w:val="20"/>
          <w:szCs w:val="20"/>
        </w:rPr>
        <w:t>Policy</w:t>
      </w:r>
      <w:r w:rsidRPr="009D3B5A">
        <w:rPr>
          <w:rFonts w:ascii="Tahoma" w:hAnsi="Tahoma" w:cs="Tahoma"/>
          <w:bCs/>
          <w:iCs/>
          <w:sz w:val="20"/>
          <w:szCs w:val="20"/>
          <w:lang w:val="el-GR"/>
        </w:rPr>
        <w:t xml:space="preserve"> σε εφαρμογή της οδηγίας </w:t>
      </w:r>
      <w:r w:rsidRPr="00B019D0">
        <w:rPr>
          <w:rFonts w:ascii="Tahoma" w:hAnsi="Tahoma" w:cs="Tahoma"/>
          <w:bCs/>
          <w:iCs/>
          <w:sz w:val="20"/>
          <w:szCs w:val="20"/>
        </w:rPr>
        <w:t>PSD</w:t>
      </w:r>
      <w:r w:rsidRPr="009D3B5A">
        <w:rPr>
          <w:rFonts w:ascii="Tahoma" w:hAnsi="Tahoma" w:cs="Tahoma"/>
          <w:bCs/>
          <w:iCs/>
          <w:sz w:val="20"/>
          <w:szCs w:val="20"/>
          <w:lang w:val="el-GR"/>
        </w:rPr>
        <w:t>2 και μηχανισμός έκτακτης ανάγκης (</w:t>
      </w:r>
      <w:r w:rsidRPr="00B019D0">
        <w:rPr>
          <w:rFonts w:ascii="Tahoma" w:hAnsi="Tahoma" w:cs="Tahoma"/>
          <w:bCs/>
          <w:iCs/>
          <w:sz w:val="20"/>
          <w:szCs w:val="20"/>
        </w:rPr>
        <w:t>Fall</w:t>
      </w:r>
      <w:r w:rsidRPr="009D3B5A">
        <w:rPr>
          <w:rFonts w:ascii="Tahoma" w:hAnsi="Tahoma" w:cs="Tahoma"/>
          <w:bCs/>
          <w:iCs/>
          <w:sz w:val="20"/>
          <w:szCs w:val="20"/>
          <w:lang w:val="el-GR"/>
        </w:rPr>
        <w:t xml:space="preserve"> </w:t>
      </w:r>
      <w:r w:rsidRPr="00B019D0">
        <w:rPr>
          <w:rFonts w:ascii="Tahoma" w:hAnsi="Tahoma" w:cs="Tahoma"/>
          <w:bCs/>
          <w:iCs/>
          <w:sz w:val="20"/>
          <w:szCs w:val="20"/>
        </w:rPr>
        <w:t>Back</w:t>
      </w:r>
      <w:r w:rsidRPr="009D3B5A">
        <w:rPr>
          <w:rFonts w:ascii="Tahoma" w:hAnsi="Tahoma" w:cs="Tahoma"/>
          <w:bCs/>
          <w:iCs/>
          <w:sz w:val="20"/>
          <w:szCs w:val="20"/>
          <w:lang w:val="el-GR"/>
        </w:rPr>
        <w:t xml:space="preserve">)  με βάση τις απαιτήσεις της οδηγίας </w:t>
      </w:r>
      <w:r w:rsidRPr="00B019D0">
        <w:rPr>
          <w:rFonts w:ascii="Tahoma" w:hAnsi="Tahoma" w:cs="Tahoma"/>
          <w:bCs/>
          <w:iCs/>
          <w:sz w:val="20"/>
          <w:szCs w:val="20"/>
        </w:rPr>
        <w:t>PSD</w:t>
      </w:r>
      <w:r w:rsidRPr="009D3B5A">
        <w:rPr>
          <w:rFonts w:ascii="Tahoma" w:hAnsi="Tahoma" w:cs="Tahoma"/>
          <w:bCs/>
          <w:iCs/>
          <w:sz w:val="20"/>
          <w:szCs w:val="20"/>
          <w:lang w:val="el-GR"/>
        </w:rPr>
        <w:t>2.</w:t>
      </w:r>
    </w:p>
    <w:p w14:paraId="653E7C45" w14:textId="77777777" w:rsidR="009D3B5A" w:rsidRPr="009D3B5A" w:rsidRDefault="009D3B5A" w:rsidP="009D3B5A">
      <w:pPr>
        <w:pStyle w:val="a9"/>
        <w:numPr>
          <w:ilvl w:val="0"/>
          <w:numId w:val="2"/>
        </w:num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Προς ενίσχυση των εποπτικών κεφαλαίων και μετά από απόφαση της Γενικής Συνέλευσης, η τράπεζα προχώρησε σε έκδοση ομολόγου μειωμένης εξασφάλισης ποσού 4.820 χιλ. ευρώ, και μετατρέψιμου ομολόγου ποσού 500 χιλ. ευρώ.</w:t>
      </w:r>
    </w:p>
    <w:p w14:paraId="29324B98" w14:textId="77777777" w:rsidR="009D3B5A" w:rsidRPr="009D3B5A" w:rsidRDefault="009D3B5A" w:rsidP="009D3B5A">
      <w:pPr>
        <w:pStyle w:val="a9"/>
        <w:numPr>
          <w:ilvl w:val="0"/>
          <w:numId w:val="2"/>
        </w:num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 xml:space="preserve">Προς ενίσχυση των εποπτικών κεφαλαίων και μετά από απόφαση της Γενικής Συνέλευσης, η τράπεζα προχώρησε σε προσφορά συνεταιριστικών μεριδίων με ειδική τιμή ίση με την ονομαστική τιμή της μερίδας. Το ποσό που συγκεντρώθηκε ανήλθε στο ποσό των 900 </w:t>
      </w:r>
      <w:proofErr w:type="spellStart"/>
      <w:r w:rsidRPr="009D3B5A">
        <w:rPr>
          <w:rFonts w:ascii="Tahoma" w:hAnsi="Tahoma" w:cs="Tahoma"/>
          <w:bCs/>
          <w:iCs/>
          <w:sz w:val="20"/>
          <w:szCs w:val="20"/>
          <w:lang w:val="el-GR"/>
        </w:rPr>
        <w:t>χιλ</w:t>
      </w:r>
      <w:proofErr w:type="spellEnd"/>
      <w:r w:rsidRPr="009D3B5A">
        <w:rPr>
          <w:rFonts w:ascii="Tahoma" w:hAnsi="Tahoma" w:cs="Tahoma"/>
          <w:bCs/>
          <w:iCs/>
          <w:sz w:val="20"/>
          <w:szCs w:val="20"/>
          <w:lang w:val="el-GR"/>
        </w:rPr>
        <w:t xml:space="preserve"> ευρώ.</w:t>
      </w:r>
    </w:p>
    <w:p w14:paraId="098AC89C" w14:textId="77777777" w:rsidR="009D3B5A" w:rsidRPr="009D3B5A" w:rsidRDefault="009D3B5A" w:rsidP="009D3B5A">
      <w:pPr>
        <w:pStyle w:val="a9"/>
        <w:numPr>
          <w:ilvl w:val="0"/>
          <w:numId w:val="2"/>
        </w:num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lastRenderedPageBreak/>
        <w:t>Συνεχίστηκε η προσπάθεια διατήρησης κερδοφορίας, με ιδιαίτερη έμφαση στη μείωση των λειτουργικών εξόδων, την αύξηση των μεγεθών και τη μείωση των καθυστερημένων δανείων.</w:t>
      </w:r>
    </w:p>
    <w:p w14:paraId="2C3EB99A" w14:textId="77777777" w:rsidR="009D3B5A" w:rsidRPr="00B019D0" w:rsidRDefault="009D3B5A" w:rsidP="009D3B5A">
      <w:pPr>
        <w:pStyle w:val="a9"/>
        <w:numPr>
          <w:ilvl w:val="0"/>
          <w:numId w:val="2"/>
        </w:numPr>
        <w:spacing w:after="120" w:line="240" w:lineRule="auto"/>
        <w:jc w:val="both"/>
        <w:rPr>
          <w:rFonts w:ascii="Tahoma" w:hAnsi="Tahoma" w:cs="Tahoma"/>
          <w:bCs/>
          <w:iCs/>
          <w:sz w:val="20"/>
          <w:szCs w:val="20"/>
        </w:rPr>
      </w:pPr>
      <w:r w:rsidRPr="00B019D0">
        <w:rPr>
          <w:rFonts w:ascii="Tahoma" w:hAnsi="Tahoma" w:cs="Tahoma"/>
          <w:bCs/>
          <w:iCs/>
          <w:sz w:val="20"/>
          <w:szCs w:val="20"/>
        </w:rPr>
        <w:t>Δια</w:t>
      </w:r>
      <w:proofErr w:type="spellStart"/>
      <w:r w:rsidRPr="00B019D0">
        <w:rPr>
          <w:rFonts w:ascii="Tahoma" w:hAnsi="Tahoma" w:cs="Tahoma"/>
          <w:bCs/>
          <w:iCs/>
          <w:sz w:val="20"/>
          <w:szCs w:val="20"/>
        </w:rPr>
        <w:t>τηρήθηκ</w:t>
      </w:r>
      <w:proofErr w:type="spellEnd"/>
      <w:r w:rsidRPr="00B019D0">
        <w:rPr>
          <w:rFonts w:ascii="Tahoma" w:hAnsi="Tahoma" w:cs="Tahoma"/>
          <w:bCs/>
          <w:iCs/>
          <w:sz w:val="20"/>
          <w:szCs w:val="20"/>
        </w:rPr>
        <w:t xml:space="preserve">αν </w:t>
      </w:r>
      <w:proofErr w:type="spellStart"/>
      <w:r w:rsidRPr="00B019D0">
        <w:rPr>
          <w:rFonts w:ascii="Tahoma" w:hAnsi="Tahoma" w:cs="Tahoma"/>
          <w:bCs/>
          <w:iCs/>
          <w:sz w:val="20"/>
          <w:szCs w:val="20"/>
        </w:rPr>
        <w:t>οι</w:t>
      </w:r>
      <w:proofErr w:type="spellEnd"/>
      <w:r w:rsidRPr="00B019D0">
        <w:rPr>
          <w:rFonts w:ascii="Tahoma" w:hAnsi="Tahoma" w:cs="Tahoma"/>
          <w:bCs/>
          <w:iCs/>
          <w:sz w:val="20"/>
          <w:szCs w:val="20"/>
        </w:rPr>
        <w:t xml:space="preserve"> θέσεις </w:t>
      </w:r>
      <w:proofErr w:type="spellStart"/>
      <w:r w:rsidRPr="00B019D0">
        <w:rPr>
          <w:rFonts w:ascii="Tahoma" w:hAnsi="Tahoma" w:cs="Tahoma"/>
          <w:bCs/>
          <w:iCs/>
          <w:sz w:val="20"/>
          <w:szCs w:val="20"/>
        </w:rPr>
        <w:t>εργ</w:t>
      </w:r>
      <w:proofErr w:type="spellEnd"/>
      <w:r w:rsidRPr="00B019D0">
        <w:rPr>
          <w:rFonts w:ascii="Tahoma" w:hAnsi="Tahoma" w:cs="Tahoma"/>
          <w:bCs/>
          <w:iCs/>
          <w:sz w:val="20"/>
          <w:szCs w:val="20"/>
        </w:rPr>
        <w:t>ασίας.</w:t>
      </w:r>
    </w:p>
    <w:p w14:paraId="7D6313DF" w14:textId="77777777" w:rsidR="009D3B5A" w:rsidRPr="009D3B5A" w:rsidRDefault="009D3B5A" w:rsidP="009D3B5A">
      <w:pPr>
        <w:pStyle w:val="a9"/>
        <w:numPr>
          <w:ilvl w:val="0"/>
          <w:numId w:val="2"/>
        </w:num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 xml:space="preserve">Συνεχίστηκε η βελτίωση των προσφερόμενων υπηρεσιών από το </w:t>
      </w:r>
      <w:r w:rsidRPr="00B019D0">
        <w:rPr>
          <w:rFonts w:ascii="Tahoma" w:hAnsi="Tahoma" w:cs="Tahoma"/>
          <w:bCs/>
          <w:iCs/>
          <w:sz w:val="20"/>
          <w:szCs w:val="20"/>
        </w:rPr>
        <w:t>Web</w:t>
      </w:r>
      <w:r w:rsidRPr="009D3B5A">
        <w:rPr>
          <w:rFonts w:ascii="Tahoma" w:hAnsi="Tahoma" w:cs="Tahoma"/>
          <w:bCs/>
          <w:iCs/>
          <w:sz w:val="20"/>
          <w:szCs w:val="20"/>
          <w:lang w:val="el-GR"/>
        </w:rPr>
        <w:t xml:space="preserve"> </w:t>
      </w:r>
      <w:r w:rsidRPr="00B019D0">
        <w:rPr>
          <w:rFonts w:ascii="Tahoma" w:hAnsi="Tahoma" w:cs="Tahoma"/>
          <w:bCs/>
          <w:iCs/>
          <w:sz w:val="20"/>
          <w:szCs w:val="20"/>
        </w:rPr>
        <w:t>Banking</w:t>
      </w:r>
      <w:r w:rsidRPr="009D3B5A">
        <w:rPr>
          <w:rFonts w:ascii="Tahoma" w:hAnsi="Tahoma" w:cs="Tahoma"/>
          <w:bCs/>
          <w:iCs/>
          <w:sz w:val="20"/>
          <w:szCs w:val="20"/>
          <w:lang w:val="el-GR"/>
        </w:rPr>
        <w:t xml:space="preserve"> με τον εμπλουτισμό υπηρεσιών πληρωμών.</w:t>
      </w:r>
    </w:p>
    <w:p w14:paraId="5CFE446D" w14:textId="77777777" w:rsidR="009D3B5A" w:rsidRPr="009D3B5A" w:rsidRDefault="009D3B5A" w:rsidP="009D3B5A">
      <w:pPr>
        <w:pStyle w:val="a9"/>
        <w:numPr>
          <w:ilvl w:val="0"/>
          <w:numId w:val="2"/>
        </w:num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 xml:space="preserve">Συνεχίστηκαν οι διαδικασίες για τη διάθεση τερματικών </w:t>
      </w:r>
      <w:r w:rsidRPr="00B019D0">
        <w:rPr>
          <w:rFonts w:ascii="Tahoma" w:hAnsi="Tahoma" w:cs="Tahoma"/>
          <w:bCs/>
          <w:iCs/>
          <w:sz w:val="20"/>
          <w:szCs w:val="20"/>
        </w:rPr>
        <w:t>POS</w:t>
      </w:r>
      <w:r w:rsidRPr="009D3B5A">
        <w:rPr>
          <w:rFonts w:ascii="Tahoma" w:hAnsi="Tahoma" w:cs="Tahoma"/>
          <w:bCs/>
          <w:iCs/>
          <w:sz w:val="20"/>
          <w:szCs w:val="20"/>
          <w:lang w:val="el-GR"/>
        </w:rPr>
        <w:t xml:space="preserve"> στους πελάτες εμπόρους της Τράπεζας για πληρωμές με αποδοχή καρτών και συνεχίζεται η διάθεση τερματικών </w:t>
      </w:r>
      <w:r w:rsidRPr="00B019D0">
        <w:rPr>
          <w:rFonts w:ascii="Tahoma" w:hAnsi="Tahoma" w:cs="Tahoma"/>
          <w:bCs/>
          <w:iCs/>
          <w:sz w:val="20"/>
          <w:szCs w:val="20"/>
        </w:rPr>
        <w:t>POS</w:t>
      </w:r>
      <w:r w:rsidRPr="009D3B5A">
        <w:rPr>
          <w:rFonts w:ascii="Tahoma" w:hAnsi="Tahoma" w:cs="Tahoma"/>
          <w:bCs/>
          <w:iCs/>
          <w:sz w:val="20"/>
          <w:szCs w:val="20"/>
          <w:lang w:val="el-GR"/>
        </w:rPr>
        <w:t xml:space="preserve"> για όσους πελάτες επιθυμούν την απόκτηση τερματικού. </w:t>
      </w:r>
    </w:p>
    <w:p w14:paraId="2193F186" w14:textId="77777777" w:rsidR="009D3B5A" w:rsidRPr="009D3B5A" w:rsidRDefault="009D3B5A" w:rsidP="009D3B5A">
      <w:pPr>
        <w:pStyle w:val="a9"/>
        <w:numPr>
          <w:ilvl w:val="0"/>
          <w:numId w:val="2"/>
        </w:num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 xml:space="preserve">Ολοκληρώθηκε η υλοποίηση του έργου για τη μεταφορά, ανεξαρτητοποίηση και αναβάθμιση των υπηρεσιών Καρτών, ΑΤΜ και </w:t>
      </w:r>
      <w:r w:rsidRPr="00B019D0">
        <w:rPr>
          <w:rFonts w:ascii="Tahoma" w:hAnsi="Tahoma" w:cs="Tahoma"/>
          <w:bCs/>
          <w:iCs/>
          <w:sz w:val="20"/>
          <w:szCs w:val="20"/>
        </w:rPr>
        <w:t>POS</w:t>
      </w:r>
      <w:r w:rsidRPr="009D3B5A">
        <w:rPr>
          <w:rFonts w:ascii="Tahoma" w:hAnsi="Tahoma" w:cs="Tahoma"/>
          <w:bCs/>
          <w:iCs/>
          <w:sz w:val="20"/>
          <w:szCs w:val="20"/>
          <w:lang w:val="el-GR"/>
        </w:rPr>
        <w:t xml:space="preserve"> από την Τράπεζα Πειραιώς στην Τράπεζα Αττικής.</w:t>
      </w:r>
    </w:p>
    <w:p w14:paraId="43A5790C" w14:textId="77777777" w:rsidR="009D3B5A" w:rsidRPr="009D3B5A" w:rsidRDefault="009D3B5A" w:rsidP="009D3B5A">
      <w:pPr>
        <w:pStyle w:val="a9"/>
        <w:numPr>
          <w:ilvl w:val="0"/>
          <w:numId w:val="2"/>
        </w:num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Υλοποιήθηκαν νέα συστήματα ενημέρωσης (</w:t>
      </w:r>
      <w:r w:rsidRPr="00B019D0">
        <w:rPr>
          <w:rFonts w:ascii="Tahoma" w:hAnsi="Tahoma" w:cs="Tahoma"/>
          <w:bCs/>
          <w:iCs/>
          <w:sz w:val="20"/>
          <w:szCs w:val="20"/>
        </w:rPr>
        <w:t>MIS</w:t>
      </w:r>
      <w:r w:rsidRPr="009D3B5A">
        <w:rPr>
          <w:rFonts w:ascii="Tahoma" w:hAnsi="Tahoma" w:cs="Tahoma"/>
          <w:bCs/>
          <w:iCs/>
          <w:sz w:val="20"/>
          <w:szCs w:val="20"/>
          <w:lang w:val="el-GR"/>
        </w:rPr>
        <w:t>) της Διοίκησης και των υπηρεσιών της, όσον αφορά τα καλύμματα και τις εγγυήσεις.</w:t>
      </w:r>
    </w:p>
    <w:p w14:paraId="3E219342" w14:textId="77777777" w:rsidR="009D3B5A" w:rsidRPr="009D3B5A" w:rsidRDefault="009D3B5A" w:rsidP="009D3B5A">
      <w:pPr>
        <w:pStyle w:val="a9"/>
        <w:numPr>
          <w:ilvl w:val="0"/>
          <w:numId w:val="2"/>
        </w:num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 xml:space="preserve">Συνεχίστηκαν οι εργασίες αναθεώρησης και αναβάθμισης των εσωτερικών διαδικασιών με σκοπό την  πιστοποίηση της Τράπεζας σύμφωνα με τις νέες αναθεωρημένες εκδόσεις των προτύπων </w:t>
      </w:r>
      <w:r w:rsidRPr="00B019D0">
        <w:rPr>
          <w:rFonts w:ascii="Tahoma" w:hAnsi="Tahoma" w:cs="Tahoma"/>
          <w:bCs/>
          <w:iCs/>
          <w:sz w:val="20"/>
          <w:szCs w:val="20"/>
        </w:rPr>
        <w:t>ISO</w:t>
      </w:r>
      <w:r w:rsidRPr="009D3B5A">
        <w:rPr>
          <w:rFonts w:ascii="Tahoma" w:hAnsi="Tahoma" w:cs="Tahoma"/>
          <w:bCs/>
          <w:iCs/>
          <w:sz w:val="20"/>
          <w:szCs w:val="20"/>
          <w:lang w:val="el-GR"/>
        </w:rPr>
        <w:t xml:space="preserve">27001:2013 και </w:t>
      </w:r>
      <w:r w:rsidRPr="00B019D0">
        <w:rPr>
          <w:rFonts w:ascii="Tahoma" w:hAnsi="Tahoma" w:cs="Tahoma"/>
          <w:bCs/>
          <w:iCs/>
          <w:sz w:val="20"/>
          <w:szCs w:val="20"/>
        </w:rPr>
        <w:t>ISO</w:t>
      </w:r>
      <w:r w:rsidRPr="009D3B5A">
        <w:rPr>
          <w:rFonts w:ascii="Tahoma" w:hAnsi="Tahoma" w:cs="Tahoma"/>
          <w:bCs/>
          <w:iCs/>
          <w:sz w:val="20"/>
          <w:szCs w:val="20"/>
          <w:lang w:val="el-GR"/>
        </w:rPr>
        <w:t>22301:2012.</w:t>
      </w:r>
    </w:p>
    <w:p w14:paraId="291B12E9" w14:textId="77777777" w:rsidR="009D3B5A" w:rsidRPr="009D3B5A" w:rsidRDefault="009D3B5A" w:rsidP="009D3B5A">
      <w:pPr>
        <w:pStyle w:val="a9"/>
        <w:numPr>
          <w:ilvl w:val="0"/>
          <w:numId w:val="2"/>
        </w:num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Συνεχίστηκε η συμμετοχή στα προγράμματα του Ταμείου Επιχειρηματικότητας (ΤΕΠΙΧ) με σκοπό την ενίσχυση των τοπικών επιχειρήσεων.</w:t>
      </w:r>
    </w:p>
    <w:p w14:paraId="0EB13683" w14:textId="77777777" w:rsidR="009D3B5A" w:rsidRPr="009D3B5A" w:rsidRDefault="009D3B5A" w:rsidP="009D3B5A">
      <w:pPr>
        <w:pStyle w:val="a9"/>
        <w:numPr>
          <w:ilvl w:val="0"/>
          <w:numId w:val="2"/>
        </w:num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Παρά την οικονομική στασιμότητα  συνεχίστηκε η αύξηση του συνεταιριστικού κεφαλαίου με την αγορά μερίδων.</w:t>
      </w:r>
    </w:p>
    <w:p w14:paraId="3F84E61A" w14:textId="77777777" w:rsidR="009D3B5A" w:rsidRPr="009D3B5A" w:rsidRDefault="009D3B5A" w:rsidP="009D3B5A">
      <w:pPr>
        <w:pStyle w:val="a9"/>
        <w:numPr>
          <w:ilvl w:val="0"/>
          <w:numId w:val="2"/>
        </w:num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Πραγματοποιήθηκε εμπλουτισμός τραπεζικών προϊόντων και ασφαλιστικών υπηρεσιών.</w:t>
      </w:r>
    </w:p>
    <w:p w14:paraId="687C5B38" w14:textId="77777777" w:rsidR="009D3B5A" w:rsidRPr="009D3B5A" w:rsidRDefault="009D3B5A" w:rsidP="009D3B5A">
      <w:pPr>
        <w:pStyle w:val="a9"/>
        <w:numPr>
          <w:ilvl w:val="0"/>
          <w:numId w:val="2"/>
        </w:num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 xml:space="preserve">Πραγματοποιήθηκαν ρυθμίσεις σε πελάτες που αντιμετώπιζαν προβλήματα από την εμβάθυνση της κρίσης, ενώ συνεχίστηκε η προσπάθεια διεκδίκησης με κάθε πρόσφορο νομικό μέσο των καθυστερημένων οφειλών μη συνεργάσιμων δανειοληπτών. </w:t>
      </w:r>
    </w:p>
    <w:p w14:paraId="05C46324" w14:textId="77777777" w:rsidR="009D3B5A" w:rsidRPr="009D3B5A" w:rsidRDefault="009D3B5A" w:rsidP="009D3B5A">
      <w:pPr>
        <w:pStyle w:val="a9"/>
        <w:numPr>
          <w:ilvl w:val="0"/>
          <w:numId w:val="2"/>
        </w:num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Συνεχίστηκε η διαμόρφωση των οργανωτικών σχημάτων, πολιτικών και διαδικασιών.</w:t>
      </w:r>
      <w:r w:rsidRPr="00B019D0">
        <w:rPr>
          <w:rFonts w:ascii="Tahoma" w:hAnsi="Tahoma" w:cs="Tahoma"/>
          <w:bCs/>
          <w:iCs/>
          <w:sz w:val="20"/>
          <w:szCs w:val="20"/>
        </w:rPr>
        <w:t> </w:t>
      </w:r>
    </w:p>
    <w:p w14:paraId="5A1C0FDA" w14:textId="77777777" w:rsidR="009D3B5A" w:rsidRPr="009D3B5A" w:rsidRDefault="009D3B5A" w:rsidP="009D3B5A">
      <w:pPr>
        <w:pStyle w:val="a9"/>
        <w:numPr>
          <w:ilvl w:val="0"/>
          <w:numId w:val="2"/>
        </w:num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Συνεχίστηκε η συνεργασία με το Ευρωπαϊκό Ταμείο Επενδύσεων (</w:t>
      </w:r>
      <w:r w:rsidRPr="00B019D0">
        <w:rPr>
          <w:rFonts w:ascii="Tahoma" w:hAnsi="Tahoma" w:cs="Tahoma"/>
          <w:bCs/>
          <w:iCs/>
          <w:sz w:val="20"/>
          <w:szCs w:val="20"/>
        </w:rPr>
        <w:t>European</w:t>
      </w:r>
      <w:r w:rsidRPr="009D3B5A">
        <w:rPr>
          <w:rFonts w:ascii="Tahoma" w:hAnsi="Tahoma" w:cs="Tahoma"/>
          <w:bCs/>
          <w:iCs/>
          <w:sz w:val="20"/>
          <w:szCs w:val="20"/>
          <w:lang w:val="el-GR"/>
        </w:rPr>
        <w:t xml:space="preserve"> </w:t>
      </w:r>
      <w:r w:rsidRPr="00B019D0">
        <w:rPr>
          <w:rFonts w:ascii="Tahoma" w:hAnsi="Tahoma" w:cs="Tahoma"/>
          <w:bCs/>
          <w:iCs/>
          <w:sz w:val="20"/>
          <w:szCs w:val="20"/>
        </w:rPr>
        <w:t>Investment</w:t>
      </w:r>
      <w:r w:rsidRPr="009D3B5A">
        <w:rPr>
          <w:rFonts w:ascii="Tahoma" w:hAnsi="Tahoma" w:cs="Tahoma"/>
          <w:bCs/>
          <w:iCs/>
          <w:sz w:val="20"/>
          <w:szCs w:val="20"/>
          <w:lang w:val="el-GR"/>
        </w:rPr>
        <w:t xml:space="preserve"> </w:t>
      </w:r>
      <w:r w:rsidRPr="00B019D0">
        <w:rPr>
          <w:rFonts w:ascii="Tahoma" w:hAnsi="Tahoma" w:cs="Tahoma"/>
          <w:bCs/>
          <w:iCs/>
          <w:sz w:val="20"/>
          <w:szCs w:val="20"/>
        </w:rPr>
        <w:t>Fund</w:t>
      </w:r>
      <w:r w:rsidRPr="009D3B5A">
        <w:rPr>
          <w:rFonts w:ascii="Tahoma" w:hAnsi="Tahoma" w:cs="Tahoma"/>
          <w:bCs/>
          <w:iCs/>
          <w:sz w:val="20"/>
          <w:szCs w:val="20"/>
          <w:lang w:val="el-GR"/>
        </w:rPr>
        <w:t xml:space="preserve">) στα πλαίσια του προγράμματος </w:t>
      </w:r>
      <w:proofErr w:type="spellStart"/>
      <w:r w:rsidRPr="00B019D0">
        <w:rPr>
          <w:rFonts w:ascii="Tahoma" w:hAnsi="Tahoma" w:cs="Tahoma"/>
          <w:bCs/>
          <w:iCs/>
          <w:sz w:val="20"/>
          <w:szCs w:val="20"/>
        </w:rPr>
        <w:t>EaSI</w:t>
      </w:r>
      <w:proofErr w:type="spellEnd"/>
      <w:r w:rsidRPr="009D3B5A">
        <w:rPr>
          <w:rFonts w:ascii="Tahoma" w:hAnsi="Tahoma" w:cs="Tahoma"/>
          <w:bCs/>
          <w:iCs/>
          <w:sz w:val="20"/>
          <w:szCs w:val="20"/>
          <w:lang w:val="el-GR"/>
        </w:rPr>
        <w:t xml:space="preserve">, με βάση το οποίο παρέχονται </w:t>
      </w:r>
      <w:proofErr w:type="spellStart"/>
      <w:r w:rsidRPr="009D3B5A">
        <w:rPr>
          <w:rFonts w:ascii="Tahoma" w:hAnsi="Tahoma" w:cs="Tahoma"/>
          <w:bCs/>
          <w:iCs/>
          <w:sz w:val="20"/>
          <w:szCs w:val="20"/>
          <w:lang w:val="el-GR"/>
        </w:rPr>
        <w:t>μικροχρηματοδοτήσεις</w:t>
      </w:r>
      <w:proofErr w:type="spellEnd"/>
      <w:r w:rsidRPr="009D3B5A">
        <w:rPr>
          <w:rFonts w:ascii="Tahoma" w:hAnsi="Tahoma" w:cs="Tahoma"/>
          <w:bCs/>
          <w:iCs/>
          <w:sz w:val="20"/>
          <w:szCs w:val="20"/>
          <w:lang w:val="el-GR"/>
        </w:rPr>
        <w:t xml:space="preserve"> ύψους μέχρι 25.000 ευρώ σε επαγγελματίες και μικρές επιχειρήσεις, οι οποίες είναι εγγυημένες από το Ταμείο. Η πρόταση έχει εγκριθεί και </w:t>
      </w:r>
      <w:proofErr w:type="spellStart"/>
      <w:r w:rsidRPr="009D3B5A">
        <w:rPr>
          <w:rFonts w:ascii="Tahoma" w:hAnsi="Tahoma" w:cs="Tahoma"/>
          <w:bCs/>
          <w:iCs/>
          <w:sz w:val="20"/>
          <w:szCs w:val="20"/>
          <w:lang w:val="el-GR"/>
        </w:rPr>
        <w:t>συμβασιοποιηθεί</w:t>
      </w:r>
      <w:proofErr w:type="spellEnd"/>
      <w:r w:rsidRPr="009D3B5A">
        <w:rPr>
          <w:rFonts w:ascii="Tahoma" w:hAnsi="Tahoma" w:cs="Tahoma"/>
          <w:bCs/>
          <w:iCs/>
          <w:sz w:val="20"/>
          <w:szCs w:val="20"/>
          <w:lang w:val="el-GR"/>
        </w:rPr>
        <w:t xml:space="preserve"> για ποσό 7,5 εκατ. ευρώ.</w:t>
      </w:r>
    </w:p>
    <w:p w14:paraId="01990BBF" w14:textId="77777777" w:rsidR="009D3B5A" w:rsidRPr="009D3B5A" w:rsidRDefault="009D3B5A" w:rsidP="009D3B5A">
      <w:pPr>
        <w:spacing w:after="120" w:line="240" w:lineRule="auto"/>
        <w:ind w:firstLine="425"/>
        <w:jc w:val="both"/>
        <w:rPr>
          <w:rFonts w:ascii="Tahoma" w:hAnsi="Tahoma" w:cs="Tahoma"/>
          <w:bCs/>
          <w:iCs/>
          <w:sz w:val="20"/>
          <w:szCs w:val="20"/>
          <w:lang w:val="el-GR"/>
        </w:rPr>
      </w:pPr>
      <w:r w:rsidRPr="00B019D0">
        <w:rPr>
          <w:rFonts w:ascii="Tahoma" w:hAnsi="Tahoma" w:cs="Tahoma"/>
          <w:bCs/>
          <w:iCs/>
          <w:sz w:val="20"/>
          <w:szCs w:val="20"/>
        </w:rPr>
        <w:t> </w:t>
      </w:r>
    </w:p>
    <w:p w14:paraId="676440ED" w14:textId="77777777" w:rsidR="009D3B5A" w:rsidRPr="009D3B5A" w:rsidRDefault="009D3B5A" w:rsidP="009D3B5A">
      <w:pPr>
        <w:spacing w:after="120" w:line="240" w:lineRule="auto"/>
        <w:jc w:val="both"/>
        <w:rPr>
          <w:rFonts w:ascii="Tahoma" w:hAnsi="Tahoma" w:cs="Tahoma"/>
          <w:bCs/>
          <w:iCs/>
          <w:sz w:val="20"/>
          <w:szCs w:val="20"/>
          <w:lang w:val="el-GR"/>
        </w:rPr>
      </w:pPr>
      <w:r w:rsidRPr="009D3B5A">
        <w:rPr>
          <w:rFonts w:ascii="Tahoma" w:hAnsi="Tahoma" w:cs="Tahoma"/>
          <w:b/>
          <w:bCs/>
          <w:iCs/>
          <w:sz w:val="20"/>
          <w:szCs w:val="20"/>
          <w:u w:val="single"/>
          <w:lang w:val="el-GR"/>
        </w:rPr>
        <w:t>Εξέλιξη οικονομικών μεγεθών</w:t>
      </w:r>
      <w:r w:rsidRPr="009D3B5A">
        <w:rPr>
          <w:rFonts w:ascii="Tahoma" w:hAnsi="Tahoma" w:cs="Tahoma"/>
          <w:b/>
          <w:bCs/>
          <w:iCs/>
          <w:sz w:val="20"/>
          <w:szCs w:val="20"/>
          <w:lang w:val="el-GR"/>
        </w:rPr>
        <w:t xml:space="preserve"> </w:t>
      </w:r>
    </w:p>
    <w:p w14:paraId="0C1BBA30" w14:textId="77777777" w:rsidR="009D3B5A" w:rsidRPr="009D3B5A" w:rsidRDefault="009D3B5A" w:rsidP="009D3B5A">
      <w:p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 xml:space="preserve">Οι χρηματοοικονομικές καταστάσεις της χρήσης έχουν συνταχθεί με βάση τα Διεθνή Πρότυπα Χρηματοοικονομικών Αναφορών (ΔΠΧΑ). </w:t>
      </w:r>
    </w:p>
    <w:p w14:paraId="1EC28C92" w14:textId="77777777" w:rsidR="009D3B5A" w:rsidRPr="009D3B5A" w:rsidRDefault="009D3B5A" w:rsidP="009D3B5A">
      <w:pPr>
        <w:spacing w:after="120" w:line="240" w:lineRule="auto"/>
        <w:jc w:val="both"/>
        <w:rPr>
          <w:rFonts w:ascii="Tahoma" w:hAnsi="Tahoma" w:cs="Tahoma"/>
          <w:bCs/>
          <w:iCs/>
          <w:sz w:val="20"/>
          <w:szCs w:val="20"/>
          <w:lang w:val="el-GR"/>
        </w:rPr>
      </w:pPr>
      <w:r w:rsidRPr="009D3B5A">
        <w:rPr>
          <w:rFonts w:ascii="Tahoma" w:hAnsi="Tahoma" w:cs="Tahoma"/>
          <w:bCs/>
          <w:iCs/>
          <w:sz w:val="20"/>
          <w:szCs w:val="20"/>
          <w:u w:val="single"/>
          <w:lang w:val="el-GR"/>
        </w:rPr>
        <w:t>Δάνεια και απαιτήσεις κατά πελατών:</w:t>
      </w:r>
      <w:r w:rsidRPr="009D3B5A">
        <w:rPr>
          <w:rFonts w:ascii="Tahoma" w:hAnsi="Tahoma" w:cs="Tahoma"/>
          <w:bCs/>
          <w:iCs/>
          <w:sz w:val="20"/>
          <w:szCs w:val="20"/>
          <w:lang w:val="el-GR"/>
        </w:rPr>
        <w:t xml:space="preserve"> Το ποσό απαιτήσεων προ προβλέψεων ανήλθε στα 257 εκατ. ευρώ από 248 εκατ. την προηγούμενη χρήση. Οι συσσωρευμένες προβλέψεις στη χρήση 2019 είναι 69,3 εκατ. ευρώ από 67,9 εκατ. την προηγούμενη χρήση. </w:t>
      </w:r>
    </w:p>
    <w:p w14:paraId="28977B4E" w14:textId="77777777" w:rsidR="009D3B5A" w:rsidRPr="009D3B5A" w:rsidRDefault="009D3B5A" w:rsidP="009D3B5A">
      <w:pPr>
        <w:spacing w:after="120" w:line="240" w:lineRule="auto"/>
        <w:jc w:val="both"/>
        <w:rPr>
          <w:rFonts w:ascii="Tahoma" w:hAnsi="Tahoma" w:cs="Tahoma"/>
          <w:bCs/>
          <w:iCs/>
          <w:sz w:val="20"/>
          <w:szCs w:val="20"/>
          <w:lang w:val="el-GR"/>
        </w:rPr>
      </w:pPr>
      <w:r w:rsidRPr="009D3B5A">
        <w:rPr>
          <w:rFonts w:ascii="Tahoma" w:hAnsi="Tahoma" w:cs="Tahoma"/>
          <w:bCs/>
          <w:iCs/>
          <w:sz w:val="20"/>
          <w:szCs w:val="20"/>
          <w:u w:val="single"/>
          <w:lang w:val="el-GR"/>
        </w:rPr>
        <w:t>Χρεόγραφα εμπορικού χαρτοφυλακίου:</w:t>
      </w:r>
      <w:r w:rsidRPr="009D3B5A">
        <w:rPr>
          <w:rFonts w:ascii="Tahoma" w:hAnsi="Tahoma" w:cs="Tahoma"/>
          <w:bCs/>
          <w:iCs/>
          <w:sz w:val="20"/>
          <w:szCs w:val="20"/>
          <w:lang w:val="el-GR"/>
        </w:rPr>
        <w:t xml:space="preserve"> Ποσό ύψους 45 </w:t>
      </w:r>
      <w:proofErr w:type="spellStart"/>
      <w:r w:rsidRPr="009D3B5A">
        <w:rPr>
          <w:rFonts w:ascii="Tahoma" w:hAnsi="Tahoma" w:cs="Tahoma"/>
          <w:bCs/>
          <w:iCs/>
          <w:sz w:val="20"/>
          <w:szCs w:val="20"/>
          <w:lang w:val="el-GR"/>
        </w:rPr>
        <w:t>χιλ</w:t>
      </w:r>
      <w:proofErr w:type="spellEnd"/>
      <w:r w:rsidRPr="009D3B5A">
        <w:rPr>
          <w:rFonts w:ascii="Tahoma" w:hAnsi="Tahoma" w:cs="Tahoma"/>
          <w:bCs/>
          <w:iCs/>
          <w:sz w:val="20"/>
          <w:szCs w:val="20"/>
          <w:lang w:val="el-GR"/>
        </w:rPr>
        <w:t xml:space="preserve"> ευρώ και η μεταβολή σε σχέση με την προηγούμενη χρήση αφορά αποτιμήσεις εύλογης αξίας.</w:t>
      </w:r>
    </w:p>
    <w:p w14:paraId="56623700" w14:textId="77777777" w:rsidR="009D3B5A" w:rsidRPr="009D3B5A" w:rsidRDefault="009D3B5A" w:rsidP="009D3B5A">
      <w:pPr>
        <w:spacing w:after="120" w:line="240" w:lineRule="auto"/>
        <w:jc w:val="both"/>
        <w:rPr>
          <w:rFonts w:ascii="Tahoma" w:hAnsi="Tahoma" w:cs="Tahoma"/>
          <w:bCs/>
          <w:iCs/>
          <w:sz w:val="20"/>
          <w:szCs w:val="20"/>
          <w:lang w:val="el-GR"/>
        </w:rPr>
      </w:pPr>
      <w:r w:rsidRPr="009D3B5A">
        <w:rPr>
          <w:rFonts w:ascii="Tahoma" w:hAnsi="Tahoma" w:cs="Tahoma"/>
          <w:bCs/>
          <w:iCs/>
          <w:sz w:val="20"/>
          <w:szCs w:val="20"/>
          <w:u w:val="single"/>
          <w:lang w:val="el-GR"/>
        </w:rPr>
        <w:t xml:space="preserve">Χρηματοοικονομικά στοιχεία στην εύλογη αξία μέσω της κατάστασης λοιπών εσόδων: </w:t>
      </w:r>
      <w:r w:rsidRPr="009D3B5A">
        <w:rPr>
          <w:rFonts w:ascii="Tahoma" w:hAnsi="Tahoma" w:cs="Tahoma"/>
          <w:bCs/>
          <w:iCs/>
          <w:sz w:val="20"/>
          <w:szCs w:val="20"/>
          <w:lang w:val="el-GR"/>
        </w:rPr>
        <w:t>Περιλαμβάνει συμμετοχές προς επιχειρήσεις και το ποσό της χρήσης 2019 ύψους 46 χιλ. ευρώ παρέμεινε το ίδιο σε σχέση με το προηγούμενο έτος. Η συμμετοχή στην Πανελλήνια Τράπεζα ύψους 3,1 εκατ. ευρώ έχει απομειωθεί ολοσχερώς, όπως και λοιπές συμμετοχές ύψους 41 χιλ. ευρώ.</w:t>
      </w:r>
    </w:p>
    <w:p w14:paraId="10E4E8C6" w14:textId="77777777" w:rsidR="009D3B5A" w:rsidRPr="009D3B5A" w:rsidRDefault="009D3B5A" w:rsidP="009D3B5A">
      <w:pPr>
        <w:spacing w:after="120" w:line="240" w:lineRule="auto"/>
        <w:jc w:val="both"/>
        <w:rPr>
          <w:rFonts w:ascii="Tahoma" w:hAnsi="Tahoma" w:cs="Tahoma"/>
          <w:bCs/>
          <w:iCs/>
          <w:sz w:val="20"/>
          <w:szCs w:val="20"/>
          <w:lang w:val="el-GR"/>
        </w:rPr>
      </w:pPr>
      <w:r w:rsidRPr="009D3B5A">
        <w:rPr>
          <w:rFonts w:ascii="Tahoma" w:hAnsi="Tahoma" w:cs="Tahoma"/>
          <w:bCs/>
          <w:iCs/>
          <w:sz w:val="20"/>
          <w:szCs w:val="20"/>
          <w:u w:val="single"/>
          <w:lang w:val="el-GR"/>
        </w:rPr>
        <w:t>Ιδιοχρησιμοποιούμενα ενσώματα πάγια στοιχεία:</w:t>
      </w:r>
      <w:r w:rsidRPr="009D3B5A">
        <w:rPr>
          <w:rFonts w:ascii="Tahoma" w:hAnsi="Tahoma" w:cs="Tahoma"/>
          <w:bCs/>
          <w:iCs/>
          <w:sz w:val="20"/>
          <w:szCs w:val="20"/>
          <w:lang w:val="el-GR"/>
        </w:rPr>
        <w:t xml:space="preserve"> Το ποσό ανήλθε στα 5,7 εκατ. ευρώ αυξημένα κατά 442 χιλ. ευρώ σε σχέση με την πρ</w:t>
      </w:r>
      <w:r w:rsidRPr="00B019D0">
        <w:rPr>
          <w:rFonts w:ascii="Tahoma" w:hAnsi="Tahoma" w:cs="Tahoma"/>
          <w:bCs/>
          <w:iCs/>
          <w:sz w:val="20"/>
          <w:szCs w:val="20"/>
        </w:rPr>
        <w:t>o</w:t>
      </w:r>
      <w:r w:rsidRPr="009D3B5A">
        <w:rPr>
          <w:rFonts w:ascii="Tahoma" w:hAnsi="Tahoma" w:cs="Tahoma"/>
          <w:bCs/>
          <w:iCs/>
          <w:sz w:val="20"/>
          <w:szCs w:val="20"/>
          <w:lang w:val="el-GR"/>
        </w:rPr>
        <w:t xml:space="preserve">ηγούμενη χρήση. Οι προσθήκες στη χρήση 2019 αφορούν κυρίως μηχανογραφικό εξοπλισμό. Επίσης σε εφαρμογή του ΔΠΧΑ 16  κατά τη χρήση 2019 ενσωματώθηκαν στα ενσώματα πάγια στοιχεία ενεργητικού με δικαίωμα χρήσης  που αφορά ενοικιαζόμενα ακίνητα στα οποία λειτουργούν καταστήματα της Τράπεζας αξίας 764 χιλ. ευρώ. </w:t>
      </w:r>
      <w:r w:rsidRPr="009D3B5A">
        <w:rPr>
          <w:rFonts w:ascii="Tahoma" w:hAnsi="Tahoma" w:cs="Tahoma"/>
          <w:bCs/>
          <w:iCs/>
          <w:sz w:val="20"/>
          <w:szCs w:val="20"/>
          <w:lang w:val="el-GR"/>
        </w:rPr>
        <w:lastRenderedPageBreak/>
        <w:t xml:space="preserve">Μετά τις αποσβέσεις το καθαρό ποσό των δικαιωμάτων αυτών στο τέλος της χρήσης ανέρχεται στο ποσό των 633 χιλ. ευρώ. </w:t>
      </w:r>
    </w:p>
    <w:p w14:paraId="38C2AB61" w14:textId="77777777" w:rsidR="009D3B5A" w:rsidRPr="009D3B5A" w:rsidRDefault="009D3B5A" w:rsidP="009D3B5A">
      <w:pPr>
        <w:spacing w:after="120" w:line="240" w:lineRule="auto"/>
        <w:jc w:val="both"/>
        <w:rPr>
          <w:rFonts w:ascii="Tahoma" w:hAnsi="Tahoma" w:cs="Tahoma"/>
          <w:bCs/>
          <w:iCs/>
          <w:sz w:val="20"/>
          <w:szCs w:val="20"/>
          <w:lang w:val="el-GR"/>
        </w:rPr>
      </w:pPr>
      <w:r w:rsidRPr="009D3B5A">
        <w:rPr>
          <w:rFonts w:ascii="Tahoma" w:hAnsi="Tahoma" w:cs="Tahoma"/>
          <w:bCs/>
          <w:iCs/>
          <w:sz w:val="20"/>
          <w:szCs w:val="20"/>
          <w:u w:val="single"/>
          <w:lang w:val="el-GR"/>
        </w:rPr>
        <w:t>Άυλα στοιχεία ενεργητικού:</w:t>
      </w:r>
      <w:r w:rsidRPr="009D3B5A">
        <w:rPr>
          <w:rFonts w:ascii="Tahoma" w:hAnsi="Tahoma" w:cs="Tahoma"/>
          <w:bCs/>
          <w:iCs/>
          <w:sz w:val="20"/>
          <w:szCs w:val="20"/>
          <w:lang w:val="el-GR"/>
        </w:rPr>
        <w:t xml:space="preserve"> Αφορά μόνο έξοδα μηχανογραφικών εφαρμογών και εγκαταστάσεων ανερχόμενο στα 345 χιλ. ευρώ. ΟΙ προσθήκες της χρήσης ανερχόμενες στα 284 χιλ. ευρώ αφορούν κυρίως κόστος της νέας τραπεζικής εφαρμογής.</w:t>
      </w:r>
    </w:p>
    <w:p w14:paraId="1F356B9A" w14:textId="77777777" w:rsidR="009D3B5A" w:rsidRPr="009D3B5A" w:rsidRDefault="009D3B5A" w:rsidP="009D3B5A">
      <w:pPr>
        <w:spacing w:after="120" w:line="240" w:lineRule="auto"/>
        <w:jc w:val="both"/>
        <w:rPr>
          <w:rFonts w:ascii="Tahoma" w:hAnsi="Tahoma" w:cs="Tahoma"/>
          <w:bCs/>
          <w:iCs/>
          <w:sz w:val="20"/>
          <w:szCs w:val="20"/>
          <w:lang w:val="el-GR"/>
        </w:rPr>
      </w:pPr>
      <w:r w:rsidRPr="009D3B5A">
        <w:rPr>
          <w:rFonts w:ascii="Tahoma" w:hAnsi="Tahoma" w:cs="Tahoma"/>
          <w:bCs/>
          <w:iCs/>
          <w:sz w:val="20"/>
          <w:szCs w:val="20"/>
          <w:u w:val="single"/>
          <w:lang w:val="el-GR"/>
        </w:rPr>
        <w:t>Αναβαλλόμενες φορολογικές απαιτήσεις:</w:t>
      </w:r>
      <w:r w:rsidRPr="009D3B5A">
        <w:rPr>
          <w:rFonts w:ascii="Tahoma" w:hAnsi="Tahoma" w:cs="Tahoma"/>
          <w:bCs/>
          <w:iCs/>
          <w:sz w:val="20"/>
          <w:szCs w:val="20"/>
          <w:lang w:val="el-GR"/>
        </w:rPr>
        <w:t xml:space="preserve"> Ποσό 9,2 εκατ. ευρώ, που περιλαμβάνει αναβαλλόμενη φορολογική απαίτηση από το δημόσιο ποσού Ευρώ 7,3 εκατ. που εμπίπτει στο άρθρο 27Α του Ν.4172/2013 και υπό προϋποθέσεις μετατρέπεται σε οριστική φορολογική απαίτηση από το Ελληνικό Δημόσιο.</w:t>
      </w:r>
    </w:p>
    <w:p w14:paraId="5F6DB1BC" w14:textId="77777777" w:rsidR="009D3B5A" w:rsidRPr="009D3B5A" w:rsidRDefault="009D3B5A" w:rsidP="009D3B5A">
      <w:pPr>
        <w:spacing w:after="120" w:line="240" w:lineRule="auto"/>
        <w:jc w:val="both"/>
        <w:rPr>
          <w:rFonts w:ascii="Tahoma" w:hAnsi="Tahoma" w:cs="Tahoma"/>
          <w:bCs/>
          <w:iCs/>
          <w:sz w:val="20"/>
          <w:szCs w:val="20"/>
          <w:lang w:val="el-GR"/>
        </w:rPr>
      </w:pPr>
      <w:r w:rsidRPr="009D3B5A">
        <w:rPr>
          <w:rFonts w:ascii="Tahoma" w:hAnsi="Tahoma" w:cs="Tahoma"/>
          <w:bCs/>
          <w:iCs/>
          <w:sz w:val="20"/>
          <w:szCs w:val="20"/>
          <w:u w:val="single"/>
          <w:lang w:val="el-GR"/>
        </w:rPr>
        <w:t>Λοιπά στοιχεία ενεργητικού:</w:t>
      </w:r>
      <w:r w:rsidRPr="009D3B5A">
        <w:rPr>
          <w:rFonts w:ascii="Tahoma" w:hAnsi="Tahoma" w:cs="Tahoma"/>
          <w:bCs/>
          <w:iCs/>
          <w:sz w:val="20"/>
          <w:szCs w:val="20"/>
          <w:lang w:val="el-GR"/>
        </w:rPr>
        <w:t xml:space="preserve"> Ποσό στη χρήση αναφοράς 16,6 εκατ. ευρώ εκ του οποίου τα σημαντικότερα ποσά είναι αξίες </w:t>
      </w:r>
      <w:proofErr w:type="spellStart"/>
      <w:r w:rsidRPr="009D3B5A">
        <w:rPr>
          <w:rFonts w:ascii="Tahoma" w:hAnsi="Tahoma" w:cs="Tahoma"/>
          <w:bCs/>
          <w:iCs/>
          <w:sz w:val="20"/>
          <w:szCs w:val="20"/>
          <w:lang w:val="el-GR"/>
        </w:rPr>
        <w:t>αποκτηθέντων</w:t>
      </w:r>
      <w:proofErr w:type="spellEnd"/>
      <w:r w:rsidRPr="009D3B5A">
        <w:rPr>
          <w:rFonts w:ascii="Tahoma" w:hAnsi="Tahoma" w:cs="Tahoma"/>
          <w:bCs/>
          <w:iCs/>
          <w:sz w:val="20"/>
          <w:szCs w:val="20"/>
          <w:lang w:val="el-GR"/>
        </w:rPr>
        <w:t xml:space="preserve"> ακινήτων από πλειστηριασμούς ποσού 8,2 ευρώ, απαιτήσεις από το Δημόσιο 4,1 εκατ. ευρώ και η απαίτηση από το ΤΕΚΕ ύψους 4 εκατ. ευρώ. Στο ποσό των απαιτήσεων από φορολογικές αρχές και το Ελληνικό Δημόσιο, συμπεριλαμβάνεται ποσό 2.964 </w:t>
      </w:r>
      <w:proofErr w:type="spellStart"/>
      <w:r w:rsidRPr="009D3B5A">
        <w:rPr>
          <w:rFonts w:ascii="Tahoma" w:hAnsi="Tahoma" w:cs="Tahoma"/>
          <w:bCs/>
          <w:iCs/>
          <w:sz w:val="20"/>
          <w:szCs w:val="20"/>
          <w:lang w:val="el-GR"/>
        </w:rPr>
        <w:t>χιλ.ευρώ</w:t>
      </w:r>
      <w:proofErr w:type="spellEnd"/>
      <w:r w:rsidRPr="009D3B5A">
        <w:rPr>
          <w:rFonts w:ascii="Tahoma" w:hAnsi="Tahoma" w:cs="Tahoma"/>
          <w:bCs/>
          <w:iCs/>
          <w:sz w:val="20"/>
          <w:szCs w:val="20"/>
          <w:lang w:val="el-GR"/>
        </w:rPr>
        <w:t xml:space="preserve"> που αφορά εισπρακτέα ποσά που έχουν προκύψει μετά από ολοκλήρωση πλειστηριασμών και τελικών πινάκων κατάταξης και τα οποία δεν έχουν εισπραχθεί γιατί εκκρεμούν ανακοπές από φορείς του Δημοσίου.  Επίσης συμπεριλαμβάνεται ποσό 893 χιλ. ευρώ που αφορά τόκους εισπρακτέους που επιδικάστηκαν σε υπόθεση που αφορά απαιτούμενες εγγυήσεις δημοσίου.</w:t>
      </w:r>
    </w:p>
    <w:p w14:paraId="0E485B62" w14:textId="77777777" w:rsidR="009D3B5A" w:rsidRPr="009D3B5A" w:rsidRDefault="009D3B5A" w:rsidP="009D3B5A">
      <w:pPr>
        <w:spacing w:after="120" w:line="240" w:lineRule="auto"/>
        <w:jc w:val="both"/>
        <w:rPr>
          <w:rFonts w:ascii="Tahoma" w:hAnsi="Tahoma" w:cs="Tahoma"/>
          <w:bCs/>
          <w:iCs/>
          <w:sz w:val="20"/>
          <w:szCs w:val="20"/>
          <w:lang w:val="el-GR"/>
        </w:rPr>
      </w:pPr>
      <w:r w:rsidRPr="009D3B5A">
        <w:rPr>
          <w:rFonts w:ascii="Tahoma" w:hAnsi="Tahoma" w:cs="Tahoma"/>
          <w:bCs/>
          <w:iCs/>
          <w:sz w:val="20"/>
          <w:szCs w:val="20"/>
          <w:u w:val="single"/>
          <w:lang w:val="el-GR"/>
        </w:rPr>
        <w:t>Ταμειακά ισοδύναμα:</w:t>
      </w:r>
      <w:r w:rsidRPr="009D3B5A">
        <w:rPr>
          <w:rFonts w:ascii="Tahoma" w:hAnsi="Tahoma" w:cs="Tahoma"/>
          <w:bCs/>
          <w:iCs/>
          <w:sz w:val="20"/>
          <w:szCs w:val="20"/>
          <w:lang w:val="el-GR"/>
        </w:rPr>
        <w:t xml:space="preserve"> Αποτελούνται από τους λογαριασμούς ταμείου, καταθέσεων στην κεντρική τράπεζα και καταθέσεων σε πιστωτικά ιδρύματα και ανήλθαν στη χρήση 2019 στα 20,5 εκατ. ευρώ από 14,9 εκατ. ευρώ το 2018.</w:t>
      </w:r>
    </w:p>
    <w:p w14:paraId="08E6692A" w14:textId="77777777" w:rsidR="009D3B5A" w:rsidRPr="009D3B5A" w:rsidRDefault="009D3B5A" w:rsidP="009D3B5A">
      <w:pPr>
        <w:spacing w:after="120" w:line="240" w:lineRule="auto"/>
        <w:jc w:val="both"/>
        <w:rPr>
          <w:rFonts w:ascii="Tahoma" w:hAnsi="Tahoma" w:cs="Tahoma"/>
          <w:bCs/>
          <w:iCs/>
          <w:sz w:val="20"/>
          <w:szCs w:val="20"/>
          <w:lang w:val="el-GR"/>
        </w:rPr>
      </w:pPr>
      <w:r w:rsidRPr="009D3B5A">
        <w:rPr>
          <w:rFonts w:ascii="Tahoma" w:hAnsi="Tahoma" w:cs="Tahoma"/>
          <w:bCs/>
          <w:iCs/>
          <w:sz w:val="20"/>
          <w:szCs w:val="20"/>
          <w:u w:val="single"/>
          <w:lang w:val="el-GR"/>
        </w:rPr>
        <w:t>Υποχρεώσεις προς πιστωτικά ιδρύματα:</w:t>
      </w:r>
      <w:r w:rsidRPr="009D3B5A">
        <w:rPr>
          <w:rFonts w:ascii="Tahoma" w:hAnsi="Tahoma" w:cs="Tahoma"/>
          <w:bCs/>
          <w:iCs/>
          <w:sz w:val="20"/>
          <w:szCs w:val="20"/>
          <w:lang w:val="el-GR"/>
        </w:rPr>
        <w:t xml:space="preserve"> Ανέρχονται σε 824 χιλ. ευρώ που αφορά καταθέσεις άλλων πιστωτικών ιδρυμάτων στη Τράπεζα.</w:t>
      </w:r>
    </w:p>
    <w:p w14:paraId="0A5D2A55" w14:textId="77777777" w:rsidR="009D3B5A" w:rsidRPr="009D3B5A" w:rsidRDefault="009D3B5A" w:rsidP="009D3B5A">
      <w:pPr>
        <w:spacing w:after="120" w:line="240" w:lineRule="auto"/>
        <w:jc w:val="both"/>
        <w:rPr>
          <w:rFonts w:ascii="Tahoma" w:hAnsi="Tahoma" w:cs="Tahoma"/>
          <w:bCs/>
          <w:iCs/>
          <w:sz w:val="20"/>
          <w:szCs w:val="20"/>
          <w:lang w:val="el-GR"/>
        </w:rPr>
      </w:pPr>
      <w:r w:rsidRPr="009D3B5A">
        <w:rPr>
          <w:rFonts w:ascii="Tahoma" w:hAnsi="Tahoma" w:cs="Tahoma"/>
          <w:bCs/>
          <w:iCs/>
          <w:sz w:val="20"/>
          <w:szCs w:val="20"/>
          <w:u w:val="single"/>
          <w:lang w:val="el-GR"/>
        </w:rPr>
        <w:t>Υποχρεώσεις προς πελάτες:</w:t>
      </w:r>
      <w:r w:rsidRPr="009D3B5A">
        <w:rPr>
          <w:rFonts w:ascii="Tahoma" w:hAnsi="Tahoma" w:cs="Tahoma"/>
          <w:bCs/>
          <w:iCs/>
          <w:sz w:val="20"/>
          <w:szCs w:val="20"/>
          <w:lang w:val="el-GR"/>
        </w:rPr>
        <w:t xml:space="preserve"> Διαμορφώθηκαν στα 208 εκατ. ευρώ από 198 εκατ. στη προηγούμενη χρήση, αυξημένες λόγω της βελτίωσης του οικονομικού κλίματος. </w:t>
      </w:r>
    </w:p>
    <w:p w14:paraId="332DA997" w14:textId="77777777" w:rsidR="009D3B5A" w:rsidRPr="009D3B5A" w:rsidRDefault="009D3B5A" w:rsidP="009D3B5A">
      <w:pPr>
        <w:spacing w:after="120" w:line="240" w:lineRule="auto"/>
        <w:jc w:val="both"/>
        <w:rPr>
          <w:rFonts w:ascii="Tahoma" w:hAnsi="Tahoma" w:cs="Tahoma"/>
          <w:bCs/>
          <w:iCs/>
          <w:sz w:val="20"/>
          <w:szCs w:val="20"/>
          <w:lang w:val="el-GR"/>
        </w:rPr>
      </w:pPr>
      <w:r w:rsidRPr="009D3B5A">
        <w:rPr>
          <w:rFonts w:ascii="Tahoma" w:hAnsi="Tahoma" w:cs="Tahoma"/>
          <w:bCs/>
          <w:iCs/>
          <w:sz w:val="20"/>
          <w:szCs w:val="20"/>
          <w:u w:val="single"/>
          <w:lang w:val="el-GR"/>
        </w:rPr>
        <w:t>Λοιπές υποχρεώσεις:</w:t>
      </w:r>
      <w:r w:rsidRPr="009D3B5A">
        <w:rPr>
          <w:rFonts w:ascii="Tahoma" w:hAnsi="Tahoma" w:cs="Tahoma"/>
          <w:bCs/>
          <w:iCs/>
          <w:sz w:val="20"/>
          <w:szCs w:val="20"/>
          <w:lang w:val="el-GR"/>
        </w:rPr>
        <w:t xml:space="preserve"> Ποσά που αφορούν φορολογικές και ασφαλιστικές υποχρεώσεις, προμηθευτές, επιταγές έκδοσης της τράπεζας κλπ. στη χρήση 2019 ποσού 6 εκατ. ευρώ. Τα σημαντικότερα μεγέθη στην κατηγορία αυτή είναι οι επιταγές έκδοσης της Τράπεζας ποσού 694 χιλ. ευρώ, οι επιταγές ενεχύρων που έχουν σταλεί προς είσπραξη ποσού 1,1 εκατ. ευρώ και </w:t>
      </w:r>
      <w:proofErr w:type="spellStart"/>
      <w:r w:rsidRPr="009D3B5A">
        <w:rPr>
          <w:rFonts w:ascii="Tahoma" w:hAnsi="Tahoma" w:cs="Tahoma"/>
          <w:bCs/>
          <w:iCs/>
          <w:sz w:val="20"/>
          <w:szCs w:val="20"/>
          <w:lang w:val="el-GR"/>
        </w:rPr>
        <w:t>αναληφθέντα</w:t>
      </w:r>
      <w:proofErr w:type="spellEnd"/>
      <w:r w:rsidRPr="009D3B5A">
        <w:rPr>
          <w:rFonts w:ascii="Tahoma" w:hAnsi="Tahoma" w:cs="Tahoma"/>
          <w:bCs/>
          <w:iCs/>
          <w:sz w:val="20"/>
          <w:szCs w:val="20"/>
          <w:lang w:val="el-GR"/>
        </w:rPr>
        <w:t xml:space="preserve"> ποσά επιταγών σε συστήματα συμψηφισμού οι οποίες δεν εμφανίστηκαν προς είσπραξη στην Τράπεζα ύψους 2,7 εκατ. ευρώ.</w:t>
      </w:r>
    </w:p>
    <w:p w14:paraId="79CFCDDC" w14:textId="77777777" w:rsidR="009D3B5A" w:rsidRPr="009D3B5A" w:rsidRDefault="009D3B5A" w:rsidP="009D3B5A">
      <w:pPr>
        <w:spacing w:after="120" w:line="240" w:lineRule="auto"/>
        <w:jc w:val="both"/>
        <w:rPr>
          <w:rFonts w:ascii="Tahoma" w:hAnsi="Tahoma" w:cs="Tahoma"/>
          <w:bCs/>
          <w:iCs/>
          <w:sz w:val="20"/>
          <w:szCs w:val="20"/>
          <w:lang w:val="el-GR"/>
        </w:rPr>
      </w:pPr>
      <w:r w:rsidRPr="009D3B5A">
        <w:rPr>
          <w:rFonts w:ascii="Tahoma" w:hAnsi="Tahoma" w:cs="Tahoma"/>
          <w:bCs/>
          <w:iCs/>
          <w:sz w:val="20"/>
          <w:szCs w:val="20"/>
          <w:u w:val="single"/>
          <w:lang w:val="el-GR"/>
        </w:rPr>
        <w:t>Ίδια κεφάλαια:</w:t>
      </w:r>
      <w:r w:rsidRPr="009D3B5A">
        <w:rPr>
          <w:rFonts w:ascii="Tahoma" w:hAnsi="Tahoma" w:cs="Tahoma"/>
          <w:bCs/>
          <w:iCs/>
          <w:sz w:val="20"/>
          <w:szCs w:val="20"/>
          <w:lang w:val="el-GR"/>
        </w:rPr>
        <w:t xml:space="preserve"> Διαμορφώθηκαν στο ποσό των 14,6 εκατ. ευρώ στην 31/12/2019, από 12,2 εκατ. ευρώ την προηγούμενη χρήση. Οι εισφορές των  συνεταίρων της Τράπεζας (συμμετοχή στο συνεταιριστικό κεφάλαιο και ποσά υπέρ το άρτιο) κατά τη χρήση 2019 ανήλθαν στο ποσό 1,4 χιλ. ευρώ. </w:t>
      </w:r>
    </w:p>
    <w:p w14:paraId="3419601E" w14:textId="77777777" w:rsidR="009D3B5A" w:rsidRPr="009D3B5A" w:rsidRDefault="009D3B5A" w:rsidP="009D3B5A">
      <w:pPr>
        <w:spacing w:after="120" w:line="240" w:lineRule="auto"/>
        <w:jc w:val="both"/>
        <w:rPr>
          <w:rFonts w:ascii="Tahoma" w:hAnsi="Tahoma" w:cs="Tahoma"/>
          <w:bCs/>
          <w:iCs/>
          <w:sz w:val="20"/>
          <w:szCs w:val="20"/>
          <w:lang w:val="el-GR"/>
        </w:rPr>
      </w:pPr>
      <w:r w:rsidRPr="009D3B5A">
        <w:rPr>
          <w:rFonts w:ascii="Tahoma" w:hAnsi="Tahoma" w:cs="Tahoma"/>
          <w:bCs/>
          <w:iCs/>
          <w:sz w:val="20"/>
          <w:szCs w:val="20"/>
          <w:u w:val="single"/>
          <w:lang w:val="el-GR"/>
        </w:rPr>
        <w:t>Καθαρά έσοδα από τόκους:</w:t>
      </w:r>
      <w:r w:rsidRPr="009D3B5A">
        <w:rPr>
          <w:rFonts w:ascii="Tahoma" w:hAnsi="Tahoma" w:cs="Tahoma"/>
          <w:bCs/>
          <w:iCs/>
          <w:sz w:val="20"/>
          <w:szCs w:val="20"/>
          <w:lang w:val="el-GR"/>
        </w:rPr>
        <w:t xml:space="preserve"> Ανήλθαν στο ποσό των 8,1 εκατ. ευρώ αυξημένα κατά 589 χιλ. ευρώ από το 2018. Οι τόκοι χορηγήσεων αυξήθηκαν κατά 602 χιλ. ευρώ κυρίως λόγω αύξησης του υπολοίπου χορηγήσεων. Τα έξοδα από τόκους παρέμειναν σταθερά αφού η μείωση  των επιτοκίων αντισταθμίστηκε από την αύξηση του υπολοίπου καταθέσεων. </w:t>
      </w:r>
    </w:p>
    <w:p w14:paraId="4C8927A7" w14:textId="77777777" w:rsidR="009D3B5A" w:rsidRPr="009D3B5A" w:rsidRDefault="009D3B5A" w:rsidP="009D3B5A">
      <w:pPr>
        <w:spacing w:after="120" w:line="240" w:lineRule="auto"/>
        <w:jc w:val="both"/>
        <w:rPr>
          <w:rFonts w:ascii="Tahoma" w:hAnsi="Tahoma" w:cs="Tahoma"/>
          <w:bCs/>
          <w:iCs/>
          <w:sz w:val="20"/>
          <w:szCs w:val="20"/>
          <w:lang w:val="el-GR"/>
        </w:rPr>
      </w:pPr>
      <w:r w:rsidRPr="009D3B5A">
        <w:rPr>
          <w:rFonts w:ascii="Tahoma" w:hAnsi="Tahoma" w:cs="Tahoma"/>
          <w:bCs/>
          <w:iCs/>
          <w:sz w:val="20"/>
          <w:szCs w:val="20"/>
          <w:u w:val="single"/>
          <w:lang w:val="el-GR"/>
        </w:rPr>
        <w:t>Λειτουργικά έξοδα:</w:t>
      </w:r>
      <w:r w:rsidRPr="009D3B5A">
        <w:rPr>
          <w:rFonts w:ascii="Tahoma" w:hAnsi="Tahoma" w:cs="Tahoma"/>
          <w:bCs/>
          <w:iCs/>
          <w:sz w:val="20"/>
          <w:szCs w:val="20"/>
          <w:lang w:val="el-GR"/>
        </w:rPr>
        <w:t xml:space="preserve"> Διαμορφώθηκαν στα 5,6 εκατ. ευρώ αυξημένα κατά 340 χιλ. ευρώ σε σχέση με την προηγούμενη χρήση. Η αύξηση οφείλεται: στις αμοιβές και τα έξοδα προσωπικού που ανήλθαν στα 3,4 εκατ. αυξημένα κατά 144 χιλ. (ποσοστό 4,4%) από την προηγούμενη χρήση. Το μεγαλύτερο μέρος της αύξησης οφείλεται σε ανάγκες στελέχωσης των κεντρικών υπηρεσιών και των καταστημάτων της Τράπεζας. Τα έξοδα διοίκησης αυξήθηκαν κατά 42 χιλ. ευρώ. Οι αποσβέσεις αυξήθηκαν σε σχέση με την προηγούμενη χρήση κατά 153 χιλ. ευρώ κυρίως λόγω της πρώτης εφαρμογής των αποσβέσεων δικαιωμάτων σύμφωνα με το ΔΠΧΑ 16 . </w:t>
      </w:r>
    </w:p>
    <w:p w14:paraId="44C319D1" w14:textId="77777777" w:rsidR="009D3B5A" w:rsidRPr="009D3B5A" w:rsidRDefault="009D3B5A" w:rsidP="009D3B5A">
      <w:pPr>
        <w:spacing w:after="120" w:line="240" w:lineRule="auto"/>
        <w:jc w:val="both"/>
        <w:rPr>
          <w:rFonts w:ascii="Tahoma" w:hAnsi="Tahoma" w:cs="Tahoma"/>
          <w:bCs/>
          <w:iCs/>
          <w:sz w:val="20"/>
          <w:szCs w:val="20"/>
          <w:lang w:val="el-GR"/>
        </w:rPr>
      </w:pPr>
      <w:r w:rsidRPr="009D3B5A">
        <w:rPr>
          <w:rFonts w:ascii="Tahoma" w:hAnsi="Tahoma" w:cs="Tahoma"/>
          <w:bCs/>
          <w:iCs/>
          <w:sz w:val="20"/>
          <w:szCs w:val="20"/>
          <w:u w:val="single"/>
          <w:lang w:val="el-GR"/>
        </w:rPr>
        <w:t>Κέρδη προ προβλέψεων και φόρων:</w:t>
      </w:r>
      <w:r w:rsidRPr="009D3B5A">
        <w:rPr>
          <w:rFonts w:ascii="Tahoma" w:hAnsi="Tahoma" w:cs="Tahoma"/>
          <w:bCs/>
          <w:iCs/>
          <w:sz w:val="20"/>
          <w:szCs w:val="20"/>
          <w:lang w:val="el-GR"/>
        </w:rPr>
        <w:t xml:space="preserve"> Ανήλθαν στο ποσό των 3,7 εκατ. ευρώ  αυξημένα κατά 387 χιλ. ευρώ σε σχέση με την προηγούμενη χρήση. Η αύξηση οφείλεται στο αποτέλεσμα τόκων, στην </w:t>
      </w:r>
      <w:r w:rsidRPr="009D3B5A">
        <w:rPr>
          <w:rFonts w:ascii="Tahoma" w:hAnsi="Tahoma" w:cs="Tahoma"/>
          <w:bCs/>
          <w:iCs/>
          <w:sz w:val="20"/>
          <w:szCs w:val="20"/>
          <w:lang w:val="el-GR"/>
        </w:rPr>
        <w:lastRenderedPageBreak/>
        <w:t>χαμηλή αύξηση του καθαρού αποτελέσματος προμηθειών και στην αύξηση των λειτουργικών δαπανών.</w:t>
      </w:r>
    </w:p>
    <w:p w14:paraId="0BC25333" w14:textId="77777777" w:rsidR="009D3B5A" w:rsidRPr="009D3B5A" w:rsidRDefault="009D3B5A" w:rsidP="009D3B5A">
      <w:pPr>
        <w:spacing w:after="120" w:line="240" w:lineRule="auto"/>
        <w:jc w:val="both"/>
        <w:rPr>
          <w:rFonts w:ascii="Tahoma" w:hAnsi="Tahoma" w:cs="Tahoma"/>
          <w:bCs/>
          <w:iCs/>
          <w:sz w:val="20"/>
          <w:szCs w:val="20"/>
          <w:lang w:val="el-GR"/>
        </w:rPr>
      </w:pPr>
      <w:r w:rsidRPr="009D3B5A">
        <w:rPr>
          <w:rFonts w:ascii="Tahoma" w:hAnsi="Tahoma" w:cs="Tahoma"/>
          <w:bCs/>
          <w:iCs/>
          <w:sz w:val="20"/>
          <w:szCs w:val="20"/>
          <w:u w:val="single"/>
          <w:lang w:val="el-GR"/>
        </w:rPr>
        <w:t>Προβλέψεις – απομειώσεις:</w:t>
      </w:r>
      <w:r w:rsidRPr="009D3B5A">
        <w:rPr>
          <w:rFonts w:ascii="Tahoma" w:hAnsi="Tahoma" w:cs="Tahoma"/>
          <w:bCs/>
          <w:iCs/>
          <w:sz w:val="20"/>
          <w:szCs w:val="20"/>
          <w:lang w:val="el-GR"/>
        </w:rPr>
        <w:t xml:space="preserve"> Αφορά προβλέψεις χορηγήσεων ύψους 1,5 εκατ. ευρώ για χορηγήσεις και 763 χιλ. ευρώ για εγγυητικές επιστολές. Οι προβλέψεις παραμένουν σημαντικές λόγω της εφαρμογής των ΔΠΧΑ.</w:t>
      </w:r>
    </w:p>
    <w:p w14:paraId="190FDBDF" w14:textId="53F7B468" w:rsidR="009D3B5A" w:rsidRDefault="009D3B5A" w:rsidP="009D3B5A">
      <w:pPr>
        <w:spacing w:after="120" w:line="240" w:lineRule="auto"/>
        <w:jc w:val="both"/>
        <w:rPr>
          <w:rFonts w:ascii="Tahoma" w:hAnsi="Tahoma" w:cs="Tahoma"/>
          <w:bCs/>
          <w:iCs/>
          <w:sz w:val="20"/>
          <w:szCs w:val="20"/>
          <w:lang w:val="el-GR"/>
        </w:rPr>
      </w:pPr>
      <w:r w:rsidRPr="009D3B5A">
        <w:rPr>
          <w:rFonts w:ascii="Tahoma" w:hAnsi="Tahoma" w:cs="Tahoma"/>
          <w:bCs/>
          <w:iCs/>
          <w:sz w:val="20"/>
          <w:szCs w:val="20"/>
          <w:u w:val="single"/>
          <w:lang w:val="el-GR"/>
        </w:rPr>
        <w:t>Κέρδη ζημίες προ φόρων και μετά από φόρους:</w:t>
      </w:r>
      <w:r w:rsidRPr="009D3B5A">
        <w:rPr>
          <w:rFonts w:ascii="Tahoma" w:hAnsi="Tahoma" w:cs="Tahoma"/>
          <w:bCs/>
          <w:iCs/>
          <w:sz w:val="20"/>
          <w:szCs w:val="20"/>
          <w:lang w:val="el-GR"/>
        </w:rPr>
        <w:t xml:space="preserve">  Τα κέρδη προ φόρων ανήλθαν στη χρήση 2019 στο ποσό των 1,4 εκατ. ευρώ  από 1,2 εκατ. ευρώ την προηγούμενη. Αντίστοιχα τα κέρδη μετά από φόρους ανήλθαν στο ποσό των 871 χιλ. ευρώ στη χρήση 2019, από 825 χιλ. ευρώ στη χρήση 2018.</w:t>
      </w:r>
    </w:p>
    <w:p w14:paraId="60D0DD96" w14:textId="77777777" w:rsidR="009D3B5A" w:rsidRPr="009D3B5A" w:rsidRDefault="009D3B5A" w:rsidP="009D3B5A">
      <w:pPr>
        <w:spacing w:after="120" w:line="240" w:lineRule="auto"/>
        <w:jc w:val="both"/>
        <w:rPr>
          <w:rFonts w:ascii="Tahoma" w:hAnsi="Tahoma" w:cs="Tahoma"/>
          <w:bCs/>
          <w:iCs/>
          <w:sz w:val="20"/>
          <w:szCs w:val="20"/>
          <w:lang w:val="el-GR"/>
        </w:rPr>
      </w:pPr>
    </w:p>
    <w:p w14:paraId="1072B150" w14:textId="77777777" w:rsidR="009D3B5A" w:rsidRPr="009D3B5A" w:rsidRDefault="009D3B5A" w:rsidP="009D3B5A">
      <w:pPr>
        <w:spacing w:after="120" w:line="240" w:lineRule="auto"/>
        <w:jc w:val="both"/>
        <w:rPr>
          <w:rFonts w:ascii="Tahoma" w:hAnsi="Tahoma" w:cs="Tahoma"/>
          <w:b/>
          <w:bCs/>
          <w:iCs/>
          <w:sz w:val="20"/>
          <w:szCs w:val="20"/>
          <w:lang w:val="el-GR"/>
        </w:rPr>
      </w:pPr>
      <w:r w:rsidRPr="009D3B5A">
        <w:rPr>
          <w:rFonts w:ascii="Tahoma" w:hAnsi="Tahoma" w:cs="Tahoma"/>
          <w:b/>
          <w:bCs/>
          <w:iCs/>
          <w:sz w:val="20"/>
          <w:szCs w:val="20"/>
          <w:lang w:val="el-GR"/>
        </w:rPr>
        <w:t xml:space="preserve">Στόχοι και Δραστηριότητες 2020 </w:t>
      </w:r>
    </w:p>
    <w:p w14:paraId="1B08FF7D" w14:textId="77777777" w:rsidR="009D3B5A" w:rsidRPr="009D3B5A" w:rsidRDefault="009D3B5A" w:rsidP="009D3B5A">
      <w:p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 xml:space="preserve">Οι στόχοι και οι σημαντικότερες δράσεις της Συνεταιριστικής Τράπεζας Θεσσαλίας για το έτος 2020 συνοψίζονται στα παρακάτω: </w:t>
      </w:r>
    </w:p>
    <w:p w14:paraId="433E2571" w14:textId="77777777" w:rsidR="009D3B5A" w:rsidRPr="009D3B5A" w:rsidRDefault="009D3B5A" w:rsidP="009D3B5A">
      <w:pPr>
        <w:pStyle w:val="a9"/>
        <w:numPr>
          <w:ilvl w:val="0"/>
          <w:numId w:val="3"/>
        </w:num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 xml:space="preserve">Ολοκλήρωση εγκατάστασης και έναρξη λειτουργίας της μηχανογραφικής εφαρμογής </w:t>
      </w:r>
      <w:r w:rsidRPr="00B019D0">
        <w:rPr>
          <w:rFonts w:ascii="Tahoma" w:hAnsi="Tahoma" w:cs="Tahoma"/>
          <w:bCs/>
          <w:iCs/>
          <w:sz w:val="20"/>
          <w:szCs w:val="20"/>
        </w:rPr>
        <w:t>CSB</w:t>
      </w:r>
      <w:r w:rsidRPr="009D3B5A">
        <w:rPr>
          <w:rFonts w:ascii="Tahoma" w:hAnsi="Tahoma" w:cs="Tahoma"/>
          <w:bCs/>
          <w:iCs/>
          <w:sz w:val="20"/>
          <w:szCs w:val="20"/>
          <w:lang w:val="el-GR"/>
        </w:rPr>
        <w:t xml:space="preserve">2 της εταιρίας </w:t>
      </w:r>
      <w:r w:rsidRPr="00B019D0">
        <w:rPr>
          <w:rFonts w:ascii="Tahoma" w:hAnsi="Tahoma" w:cs="Tahoma"/>
          <w:bCs/>
          <w:iCs/>
          <w:sz w:val="20"/>
          <w:szCs w:val="20"/>
        </w:rPr>
        <w:t>NATECH</w:t>
      </w:r>
      <w:r w:rsidRPr="009D3B5A">
        <w:rPr>
          <w:rFonts w:ascii="Tahoma" w:hAnsi="Tahoma" w:cs="Tahoma"/>
          <w:bCs/>
          <w:iCs/>
          <w:sz w:val="20"/>
          <w:szCs w:val="20"/>
          <w:lang w:val="el-GR"/>
        </w:rPr>
        <w:t>, η οποία θα αποτελέσει την πλήρη πλατφόρμα υποστήριξης των εργασιών της Τράπεζας (</w:t>
      </w:r>
      <w:r w:rsidRPr="00B019D0">
        <w:rPr>
          <w:rFonts w:ascii="Tahoma" w:hAnsi="Tahoma" w:cs="Tahoma"/>
          <w:bCs/>
          <w:iCs/>
          <w:sz w:val="20"/>
          <w:szCs w:val="20"/>
        </w:rPr>
        <w:t>core</w:t>
      </w:r>
      <w:r w:rsidRPr="009D3B5A">
        <w:rPr>
          <w:rFonts w:ascii="Tahoma" w:hAnsi="Tahoma" w:cs="Tahoma"/>
          <w:bCs/>
          <w:iCs/>
          <w:sz w:val="20"/>
          <w:szCs w:val="20"/>
          <w:lang w:val="el-GR"/>
        </w:rPr>
        <w:t xml:space="preserve"> </w:t>
      </w:r>
      <w:r w:rsidRPr="00B019D0">
        <w:rPr>
          <w:rFonts w:ascii="Tahoma" w:hAnsi="Tahoma" w:cs="Tahoma"/>
          <w:bCs/>
          <w:iCs/>
          <w:sz w:val="20"/>
          <w:szCs w:val="20"/>
        </w:rPr>
        <w:t>banking</w:t>
      </w:r>
      <w:r w:rsidRPr="009D3B5A">
        <w:rPr>
          <w:rFonts w:ascii="Tahoma" w:hAnsi="Tahoma" w:cs="Tahoma"/>
          <w:bCs/>
          <w:iCs/>
          <w:sz w:val="20"/>
          <w:szCs w:val="20"/>
          <w:lang w:val="el-GR"/>
        </w:rPr>
        <w:t xml:space="preserve"> </w:t>
      </w:r>
      <w:r w:rsidRPr="00B019D0">
        <w:rPr>
          <w:rFonts w:ascii="Tahoma" w:hAnsi="Tahoma" w:cs="Tahoma"/>
          <w:bCs/>
          <w:iCs/>
          <w:sz w:val="20"/>
          <w:szCs w:val="20"/>
        </w:rPr>
        <w:t>system</w:t>
      </w:r>
      <w:r w:rsidRPr="009D3B5A">
        <w:rPr>
          <w:rFonts w:ascii="Tahoma" w:hAnsi="Tahoma" w:cs="Tahoma"/>
          <w:bCs/>
          <w:iCs/>
          <w:sz w:val="20"/>
          <w:szCs w:val="20"/>
          <w:lang w:val="el-GR"/>
        </w:rPr>
        <w:t xml:space="preserve">). </w:t>
      </w:r>
    </w:p>
    <w:p w14:paraId="422F4162" w14:textId="77777777" w:rsidR="009D3B5A" w:rsidRPr="009D3B5A" w:rsidRDefault="009D3B5A" w:rsidP="009D3B5A">
      <w:pPr>
        <w:pStyle w:val="a9"/>
        <w:numPr>
          <w:ilvl w:val="0"/>
          <w:numId w:val="3"/>
        </w:num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Συνέχιση της προσπάθειας αύξησης της λειτουργικής κερδοφορίας και της εκκαθάρισης του ισολογισμού από τα προβληματικά δάνεια.</w:t>
      </w:r>
    </w:p>
    <w:p w14:paraId="29EC2492" w14:textId="77777777" w:rsidR="009D3B5A" w:rsidRPr="009D3B5A" w:rsidRDefault="009D3B5A" w:rsidP="009D3B5A">
      <w:pPr>
        <w:pStyle w:val="a9"/>
        <w:numPr>
          <w:ilvl w:val="0"/>
          <w:numId w:val="3"/>
        </w:num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Διατήρηση και αύξηση ει δυνατόν των θέσεων εργασίας.</w:t>
      </w:r>
    </w:p>
    <w:p w14:paraId="6343B1F4" w14:textId="77777777" w:rsidR="009D3B5A" w:rsidRPr="009D3B5A" w:rsidRDefault="009D3B5A" w:rsidP="009D3B5A">
      <w:pPr>
        <w:pStyle w:val="a9"/>
        <w:numPr>
          <w:ilvl w:val="0"/>
          <w:numId w:val="3"/>
        </w:num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Σταδιακή υλοποίηση της εφαρμογής σύγχρονων τεχνολογιών τηλεπικοινωνίας στο σύνολο των Καταστημάτων και υπηρεσιών της Τράπεζας με σκοπό τη μείωση των παγίων δαπανών και την αποτελεσματικότερη χρήση των προσφερόμενων υπηρεσιών.</w:t>
      </w:r>
    </w:p>
    <w:p w14:paraId="370ED155" w14:textId="77777777" w:rsidR="009D3B5A" w:rsidRPr="009D3B5A" w:rsidRDefault="009D3B5A" w:rsidP="009D3B5A">
      <w:pPr>
        <w:pStyle w:val="a9"/>
        <w:numPr>
          <w:ilvl w:val="0"/>
          <w:numId w:val="3"/>
        </w:num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Συνέχιση ανάπτυξης των συστημάτων ενημέρωσης (</w:t>
      </w:r>
      <w:r w:rsidRPr="00B019D0">
        <w:rPr>
          <w:rFonts w:ascii="Tahoma" w:hAnsi="Tahoma" w:cs="Tahoma"/>
          <w:bCs/>
          <w:iCs/>
          <w:sz w:val="20"/>
          <w:szCs w:val="20"/>
        </w:rPr>
        <w:t>MIS</w:t>
      </w:r>
      <w:r w:rsidRPr="009D3B5A">
        <w:rPr>
          <w:rFonts w:ascii="Tahoma" w:hAnsi="Tahoma" w:cs="Tahoma"/>
          <w:bCs/>
          <w:iCs/>
          <w:sz w:val="20"/>
          <w:szCs w:val="20"/>
          <w:lang w:val="el-GR"/>
        </w:rPr>
        <w:t>) της Διοίκησης και των υπηρεσιών της.</w:t>
      </w:r>
    </w:p>
    <w:p w14:paraId="4E816EBD" w14:textId="77777777" w:rsidR="009D3B5A" w:rsidRPr="009D3B5A" w:rsidRDefault="009D3B5A" w:rsidP="009D3B5A">
      <w:pPr>
        <w:pStyle w:val="a9"/>
        <w:numPr>
          <w:ilvl w:val="0"/>
          <w:numId w:val="3"/>
        </w:num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 xml:space="preserve">Επαναπιστοποίηση σύμφωνα με τις νέες αναθεωρημένες εκδόσεις των προτύπων </w:t>
      </w:r>
      <w:r w:rsidRPr="00B019D0">
        <w:rPr>
          <w:rFonts w:ascii="Tahoma" w:hAnsi="Tahoma" w:cs="Tahoma"/>
          <w:bCs/>
          <w:iCs/>
          <w:sz w:val="20"/>
          <w:szCs w:val="20"/>
        </w:rPr>
        <w:t>ISO</w:t>
      </w:r>
      <w:r w:rsidRPr="009D3B5A">
        <w:rPr>
          <w:rFonts w:ascii="Tahoma" w:hAnsi="Tahoma" w:cs="Tahoma"/>
          <w:bCs/>
          <w:iCs/>
          <w:sz w:val="20"/>
          <w:szCs w:val="20"/>
          <w:lang w:val="el-GR"/>
        </w:rPr>
        <w:t xml:space="preserve">27001:2013 και </w:t>
      </w:r>
      <w:r w:rsidRPr="00B019D0">
        <w:rPr>
          <w:rFonts w:ascii="Tahoma" w:hAnsi="Tahoma" w:cs="Tahoma"/>
          <w:bCs/>
          <w:iCs/>
          <w:sz w:val="20"/>
          <w:szCs w:val="20"/>
        </w:rPr>
        <w:t>ISO</w:t>
      </w:r>
      <w:r w:rsidRPr="009D3B5A">
        <w:rPr>
          <w:rFonts w:ascii="Tahoma" w:hAnsi="Tahoma" w:cs="Tahoma"/>
          <w:bCs/>
          <w:iCs/>
          <w:sz w:val="20"/>
          <w:szCs w:val="20"/>
          <w:lang w:val="el-GR"/>
        </w:rPr>
        <w:t xml:space="preserve">22301:2012.  </w:t>
      </w:r>
    </w:p>
    <w:p w14:paraId="56821FBA" w14:textId="77777777" w:rsidR="009D3B5A" w:rsidRPr="009D3B5A" w:rsidRDefault="009D3B5A" w:rsidP="009D3B5A">
      <w:pPr>
        <w:pStyle w:val="a9"/>
        <w:numPr>
          <w:ilvl w:val="0"/>
          <w:numId w:val="3"/>
        </w:num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 xml:space="preserve">Διαρκής αναβάθμιση των υπηρεσιών </w:t>
      </w:r>
      <w:r w:rsidRPr="00B019D0">
        <w:rPr>
          <w:rFonts w:ascii="Tahoma" w:hAnsi="Tahoma" w:cs="Tahoma"/>
          <w:bCs/>
          <w:iCs/>
          <w:sz w:val="20"/>
          <w:szCs w:val="20"/>
        </w:rPr>
        <w:t>Web</w:t>
      </w:r>
      <w:r w:rsidRPr="009D3B5A">
        <w:rPr>
          <w:rFonts w:ascii="Tahoma" w:hAnsi="Tahoma" w:cs="Tahoma"/>
          <w:bCs/>
          <w:iCs/>
          <w:sz w:val="20"/>
          <w:szCs w:val="20"/>
          <w:lang w:val="el-GR"/>
        </w:rPr>
        <w:t xml:space="preserve"> </w:t>
      </w:r>
      <w:r w:rsidRPr="00B019D0">
        <w:rPr>
          <w:rFonts w:ascii="Tahoma" w:hAnsi="Tahoma" w:cs="Tahoma"/>
          <w:bCs/>
          <w:iCs/>
          <w:sz w:val="20"/>
          <w:szCs w:val="20"/>
        </w:rPr>
        <w:t>Banking</w:t>
      </w:r>
      <w:r w:rsidRPr="009D3B5A">
        <w:rPr>
          <w:rFonts w:ascii="Tahoma" w:hAnsi="Tahoma" w:cs="Tahoma"/>
          <w:bCs/>
          <w:iCs/>
          <w:sz w:val="20"/>
          <w:szCs w:val="20"/>
          <w:lang w:val="el-GR"/>
        </w:rPr>
        <w:t xml:space="preserve"> για την αποτελεσματικότερη εξυπηρέτηση των πελατών. </w:t>
      </w:r>
    </w:p>
    <w:p w14:paraId="5907FEF5" w14:textId="77777777" w:rsidR="009D3B5A" w:rsidRPr="009D3B5A" w:rsidRDefault="009D3B5A" w:rsidP="009D3B5A">
      <w:pPr>
        <w:pStyle w:val="a9"/>
        <w:numPr>
          <w:ilvl w:val="0"/>
          <w:numId w:val="3"/>
        </w:num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Υιοθέτηση σύγχρονων εργαλείων εξυπηρέτησης και ενημέρωσης των πελατών συνεταίρων.</w:t>
      </w:r>
    </w:p>
    <w:p w14:paraId="22CCD56C" w14:textId="77777777" w:rsidR="009D3B5A" w:rsidRPr="009D3B5A" w:rsidRDefault="009D3B5A" w:rsidP="009D3B5A">
      <w:pPr>
        <w:pStyle w:val="a9"/>
        <w:numPr>
          <w:ilvl w:val="0"/>
          <w:numId w:val="3"/>
        </w:num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 xml:space="preserve">Περαιτέρω ανάπτυξη εργασιών μέσω τερματικών </w:t>
      </w:r>
      <w:r w:rsidRPr="00B019D0">
        <w:rPr>
          <w:rFonts w:ascii="Tahoma" w:hAnsi="Tahoma" w:cs="Tahoma"/>
          <w:bCs/>
          <w:iCs/>
          <w:sz w:val="20"/>
          <w:szCs w:val="20"/>
        </w:rPr>
        <w:t>POS</w:t>
      </w:r>
      <w:r w:rsidRPr="009D3B5A">
        <w:rPr>
          <w:rFonts w:ascii="Tahoma" w:hAnsi="Tahoma" w:cs="Tahoma"/>
          <w:bCs/>
          <w:iCs/>
          <w:sz w:val="20"/>
          <w:szCs w:val="20"/>
          <w:lang w:val="el-GR"/>
        </w:rPr>
        <w:t xml:space="preserve"> στους πελάτες εμπόρους της Τράπεζας για πληρωμές με αποδοχή καρτών. </w:t>
      </w:r>
    </w:p>
    <w:p w14:paraId="2724509A" w14:textId="77777777" w:rsidR="009D3B5A" w:rsidRPr="009D3B5A" w:rsidRDefault="009D3B5A" w:rsidP="009D3B5A">
      <w:pPr>
        <w:pStyle w:val="a9"/>
        <w:numPr>
          <w:ilvl w:val="0"/>
          <w:numId w:val="3"/>
        </w:num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Συνέργειες με άλλους οργανισμούς για την αναβάθμιση των προσφερόμενων υπηρεσιών καρτών στους κατόχους τους.</w:t>
      </w:r>
    </w:p>
    <w:p w14:paraId="3734D88C" w14:textId="77777777" w:rsidR="009D3B5A" w:rsidRPr="009D3B5A" w:rsidRDefault="009D3B5A" w:rsidP="009D3B5A">
      <w:pPr>
        <w:pStyle w:val="a9"/>
        <w:numPr>
          <w:ilvl w:val="0"/>
          <w:numId w:val="3"/>
        </w:num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Διαρκής αναβάθμιση της ιστοσελίδας της τράπεζας με στόχο την πληρέστερη ενημέρωση των πελατών συνεταίρων.</w:t>
      </w:r>
    </w:p>
    <w:p w14:paraId="016439F8" w14:textId="77777777" w:rsidR="009D3B5A" w:rsidRPr="009D3B5A" w:rsidRDefault="009D3B5A" w:rsidP="009D3B5A">
      <w:pPr>
        <w:pStyle w:val="a9"/>
        <w:numPr>
          <w:ilvl w:val="0"/>
          <w:numId w:val="3"/>
        </w:num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Προώθηση της πώλησης των ακινήτων ιδιοκτησίας της Τράπεζας.</w:t>
      </w:r>
    </w:p>
    <w:p w14:paraId="7D10A107" w14:textId="77777777" w:rsidR="009D3B5A" w:rsidRPr="009D3B5A" w:rsidRDefault="009D3B5A" w:rsidP="009D3B5A">
      <w:pPr>
        <w:pStyle w:val="a9"/>
        <w:numPr>
          <w:ilvl w:val="0"/>
          <w:numId w:val="3"/>
        </w:num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Εργασίες αναβάθμισης του Εναλλακτικού Κέντρου Μηχανογράφησης στην Καλαμπάκα.</w:t>
      </w:r>
    </w:p>
    <w:p w14:paraId="01FE83C2" w14:textId="77777777" w:rsidR="009D3B5A" w:rsidRPr="009D3B5A" w:rsidRDefault="009D3B5A" w:rsidP="009D3B5A">
      <w:pPr>
        <w:pStyle w:val="a9"/>
        <w:numPr>
          <w:ilvl w:val="0"/>
          <w:numId w:val="3"/>
        </w:num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Ολοκλήρωση των εργασιών του Εναλλακτικού Κέντρου Διοίκησης στο υπόγειο Καταστήματος στη Λάρισα, που θα χρησιμοποιηθεί σε περίπτωση φυσικής καταστροφής του κτηρίου Διοίκησης.</w:t>
      </w:r>
    </w:p>
    <w:p w14:paraId="1C114C05" w14:textId="77777777" w:rsidR="009D3B5A" w:rsidRPr="009D3B5A" w:rsidRDefault="009D3B5A" w:rsidP="009D3B5A">
      <w:pPr>
        <w:pStyle w:val="a9"/>
        <w:numPr>
          <w:ilvl w:val="0"/>
          <w:numId w:val="3"/>
        </w:num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 xml:space="preserve">Συνέχιση της συνεργασίας με το </w:t>
      </w:r>
      <w:r w:rsidRPr="00B019D0">
        <w:rPr>
          <w:rFonts w:ascii="Tahoma" w:hAnsi="Tahoma" w:cs="Tahoma"/>
          <w:bCs/>
          <w:iCs/>
          <w:sz w:val="20"/>
          <w:szCs w:val="20"/>
        </w:rPr>
        <w:t>European</w:t>
      </w:r>
      <w:r w:rsidRPr="009D3B5A">
        <w:rPr>
          <w:rFonts w:ascii="Tahoma" w:hAnsi="Tahoma" w:cs="Tahoma"/>
          <w:bCs/>
          <w:iCs/>
          <w:sz w:val="20"/>
          <w:szCs w:val="20"/>
          <w:lang w:val="el-GR"/>
        </w:rPr>
        <w:t xml:space="preserve"> </w:t>
      </w:r>
      <w:r w:rsidRPr="00B019D0">
        <w:rPr>
          <w:rFonts w:ascii="Tahoma" w:hAnsi="Tahoma" w:cs="Tahoma"/>
          <w:bCs/>
          <w:iCs/>
          <w:sz w:val="20"/>
          <w:szCs w:val="20"/>
        </w:rPr>
        <w:t>Investment</w:t>
      </w:r>
      <w:r w:rsidRPr="009D3B5A">
        <w:rPr>
          <w:rFonts w:ascii="Tahoma" w:hAnsi="Tahoma" w:cs="Tahoma"/>
          <w:bCs/>
          <w:iCs/>
          <w:sz w:val="20"/>
          <w:szCs w:val="20"/>
          <w:lang w:val="el-GR"/>
        </w:rPr>
        <w:t xml:space="preserve"> </w:t>
      </w:r>
      <w:r w:rsidRPr="00B019D0">
        <w:rPr>
          <w:rFonts w:ascii="Tahoma" w:hAnsi="Tahoma" w:cs="Tahoma"/>
          <w:bCs/>
          <w:iCs/>
          <w:sz w:val="20"/>
          <w:szCs w:val="20"/>
        </w:rPr>
        <w:t>Fund</w:t>
      </w:r>
      <w:r w:rsidRPr="009D3B5A">
        <w:rPr>
          <w:rFonts w:ascii="Tahoma" w:hAnsi="Tahoma" w:cs="Tahoma"/>
          <w:bCs/>
          <w:iCs/>
          <w:sz w:val="20"/>
          <w:szCs w:val="20"/>
          <w:lang w:val="el-GR"/>
        </w:rPr>
        <w:t xml:space="preserve"> για προώθηση εγγυήσεων σε </w:t>
      </w:r>
      <w:proofErr w:type="spellStart"/>
      <w:r w:rsidRPr="009D3B5A">
        <w:rPr>
          <w:rFonts w:ascii="Tahoma" w:hAnsi="Tahoma" w:cs="Tahoma"/>
          <w:bCs/>
          <w:iCs/>
          <w:sz w:val="20"/>
          <w:szCs w:val="20"/>
          <w:lang w:val="el-GR"/>
        </w:rPr>
        <w:t>μικροχρηματοδοτήσεις</w:t>
      </w:r>
      <w:proofErr w:type="spellEnd"/>
      <w:r w:rsidRPr="009D3B5A">
        <w:rPr>
          <w:rFonts w:ascii="Tahoma" w:hAnsi="Tahoma" w:cs="Tahoma"/>
          <w:bCs/>
          <w:iCs/>
          <w:sz w:val="20"/>
          <w:szCs w:val="20"/>
          <w:lang w:val="el-GR"/>
        </w:rPr>
        <w:t>.</w:t>
      </w:r>
    </w:p>
    <w:p w14:paraId="5E9E2B8A" w14:textId="77777777" w:rsidR="009D3B5A" w:rsidRPr="009D3B5A" w:rsidRDefault="009D3B5A" w:rsidP="009D3B5A">
      <w:pPr>
        <w:pStyle w:val="a9"/>
        <w:numPr>
          <w:ilvl w:val="0"/>
          <w:numId w:val="3"/>
        </w:num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 xml:space="preserve">Υποβολή πρότασης στο νέο χρηματοδοτικό εργαλείο </w:t>
      </w:r>
      <w:r w:rsidRPr="00B019D0">
        <w:rPr>
          <w:rFonts w:ascii="Tahoma" w:hAnsi="Tahoma" w:cs="Tahoma"/>
          <w:bCs/>
          <w:iCs/>
          <w:sz w:val="20"/>
          <w:szCs w:val="20"/>
        </w:rPr>
        <w:t>ESIF</w:t>
      </w:r>
      <w:r w:rsidRPr="009D3B5A">
        <w:rPr>
          <w:rFonts w:ascii="Tahoma" w:hAnsi="Tahoma" w:cs="Tahoma"/>
          <w:bCs/>
          <w:iCs/>
          <w:sz w:val="20"/>
          <w:szCs w:val="20"/>
          <w:lang w:val="el-GR"/>
        </w:rPr>
        <w:t>-</w:t>
      </w:r>
      <w:r w:rsidRPr="00B019D0">
        <w:rPr>
          <w:rFonts w:ascii="Tahoma" w:hAnsi="Tahoma" w:cs="Tahoma"/>
          <w:bCs/>
          <w:iCs/>
          <w:sz w:val="20"/>
          <w:szCs w:val="20"/>
        </w:rPr>
        <w:t>EAFRD</w:t>
      </w:r>
      <w:r w:rsidRPr="009D3B5A">
        <w:rPr>
          <w:rFonts w:ascii="Tahoma" w:hAnsi="Tahoma" w:cs="Tahoma"/>
          <w:bCs/>
          <w:iCs/>
          <w:sz w:val="20"/>
          <w:szCs w:val="20"/>
          <w:lang w:val="el-GR"/>
        </w:rPr>
        <w:t xml:space="preserve"> </w:t>
      </w:r>
      <w:r w:rsidRPr="00B019D0">
        <w:rPr>
          <w:rFonts w:ascii="Tahoma" w:hAnsi="Tahoma" w:cs="Tahoma"/>
          <w:bCs/>
          <w:iCs/>
          <w:sz w:val="20"/>
          <w:szCs w:val="20"/>
        </w:rPr>
        <w:t>Greece</w:t>
      </w:r>
      <w:r w:rsidRPr="009D3B5A">
        <w:rPr>
          <w:rFonts w:ascii="Tahoma" w:hAnsi="Tahoma" w:cs="Tahoma"/>
          <w:bCs/>
          <w:iCs/>
          <w:sz w:val="20"/>
          <w:szCs w:val="20"/>
          <w:lang w:val="el-GR"/>
        </w:rPr>
        <w:t xml:space="preserve"> </w:t>
      </w:r>
      <w:r w:rsidRPr="00B019D0">
        <w:rPr>
          <w:rFonts w:ascii="Tahoma" w:hAnsi="Tahoma" w:cs="Tahoma"/>
          <w:bCs/>
          <w:iCs/>
          <w:sz w:val="20"/>
          <w:szCs w:val="20"/>
        </w:rPr>
        <w:t>Fund</w:t>
      </w:r>
      <w:r w:rsidRPr="009D3B5A">
        <w:rPr>
          <w:rFonts w:ascii="Tahoma" w:hAnsi="Tahoma" w:cs="Tahoma"/>
          <w:bCs/>
          <w:iCs/>
          <w:sz w:val="20"/>
          <w:szCs w:val="20"/>
          <w:lang w:val="el-GR"/>
        </w:rPr>
        <w:t xml:space="preserve"> </w:t>
      </w:r>
      <w:r w:rsidRPr="00B019D0">
        <w:rPr>
          <w:rFonts w:ascii="Tahoma" w:hAnsi="Tahoma" w:cs="Tahoma"/>
          <w:bCs/>
          <w:iCs/>
          <w:sz w:val="20"/>
          <w:szCs w:val="20"/>
        </w:rPr>
        <w:t>of</w:t>
      </w:r>
      <w:r w:rsidRPr="009D3B5A">
        <w:rPr>
          <w:rFonts w:ascii="Tahoma" w:hAnsi="Tahoma" w:cs="Tahoma"/>
          <w:bCs/>
          <w:iCs/>
          <w:sz w:val="20"/>
          <w:szCs w:val="20"/>
          <w:lang w:val="el-GR"/>
        </w:rPr>
        <w:t xml:space="preserve"> </w:t>
      </w:r>
      <w:r w:rsidRPr="00B019D0">
        <w:rPr>
          <w:rFonts w:ascii="Tahoma" w:hAnsi="Tahoma" w:cs="Tahoma"/>
          <w:bCs/>
          <w:iCs/>
          <w:sz w:val="20"/>
          <w:szCs w:val="20"/>
        </w:rPr>
        <w:t>Funds</w:t>
      </w:r>
      <w:r w:rsidRPr="009D3B5A">
        <w:rPr>
          <w:rFonts w:ascii="Tahoma" w:hAnsi="Tahoma" w:cs="Tahoma"/>
          <w:bCs/>
          <w:iCs/>
          <w:sz w:val="20"/>
          <w:szCs w:val="20"/>
          <w:lang w:val="el-GR"/>
        </w:rPr>
        <w:t xml:space="preserve">, για τη χρηματοδότηση των αγροτών και επιχειρήσεων του ευρύτερου </w:t>
      </w:r>
      <w:proofErr w:type="spellStart"/>
      <w:r w:rsidRPr="009D3B5A">
        <w:rPr>
          <w:rFonts w:ascii="Tahoma" w:hAnsi="Tahoma" w:cs="Tahoma"/>
          <w:bCs/>
          <w:iCs/>
          <w:sz w:val="20"/>
          <w:szCs w:val="20"/>
          <w:lang w:val="el-GR"/>
        </w:rPr>
        <w:t>γροτοδιατροφικού</w:t>
      </w:r>
      <w:proofErr w:type="spellEnd"/>
      <w:r w:rsidRPr="009D3B5A">
        <w:rPr>
          <w:rFonts w:ascii="Tahoma" w:hAnsi="Tahoma" w:cs="Tahoma"/>
          <w:bCs/>
          <w:iCs/>
          <w:sz w:val="20"/>
          <w:szCs w:val="20"/>
          <w:lang w:val="el-GR"/>
        </w:rPr>
        <w:t xml:space="preserve"> τομέα. Ήδη η πρόταση έχει εγκριθεί από το </w:t>
      </w:r>
      <w:r w:rsidRPr="00B019D0">
        <w:rPr>
          <w:rFonts w:ascii="Tahoma" w:hAnsi="Tahoma" w:cs="Tahoma"/>
          <w:bCs/>
          <w:iCs/>
          <w:sz w:val="20"/>
          <w:szCs w:val="20"/>
        </w:rPr>
        <w:t>European</w:t>
      </w:r>
      <w:r w:rsidRPr="009D3B5A">
        <w:rPr>
          <w:rFonts w:ascii="Tahoma" w:hAnsi="Tahoma" w:cs="Tahoma"/>
          <w:bCs/>
          <w:iCs/>
          <w:sz w:val="20"/>
          <w:szCs w:val="20"/>
          <w:lang w:val="el-GR"/>
        </w:rPr>
        <w:t xml:space="preserve"> </w:t>
      </w:r>
      <w:r w:rsidRPr="00B019D0">
        <w:rPr>
          <w:rFonts w:ascii="Tahoma" w:hAnsi="Tahoma" w:cs="Tahoma"/>
          <w:bCs/>
          <w:iCs/>
          <w:sz w:val="20"/>
          <w:szCs w:val="20"/>
        </w:rPr>
        <w:t>Investment</w:t>
      </w:r>
      <w:r w:rsidRPr="009D3B5A">
        <w:rPr>
          <w:rFonts w:ascii="Tahoma" w:hAnsi="Tahoma" w:cs="Tahoma"/>
          <w:bCs/>
          <w:iCs/>
          <w:sz w:val="20"/>
          <w:szCs w:val="20"/>
          <w:lang w:val="el-GR"/>
        </w:rPr>
        <w:t xml:space="preserve"> </w:t>
      </w:r>
      <w:r w:rsidRPr="00B019D0">
        <w:rPr>
          <w:rFonts w:ascii="Tahoma" w:hAnsi="Tahoma" w:cs="Tahoma"/>
          <w:bCs/>
          <w:iCs/>
          <w:sz w:val="20"/>
          <w:szCs w:val="20"/>
        </w:rPr>
        <w:t>Fund</w:t>
      </w:r>
      <w:r w:rsidRPr="009D3B5A">
        <w:rPr>
          <w:rFonts w:ascii="Tahoma" w:hAnsi="Tahoma" w:cs="Tahoma"/>
          <w:bCs/>
          <w:iCs/>
          <w:sz w:val="20"/>
          <w:szCs w:val="20"/>
          <w:lang w:val="el-GR"/>
        </w:rPr>
        <w:t xml:space="preserve"> (</w:t>
      </w:r>
      <w:r w:rsidRPr="00B019D0">
        <w:rPr>
          <w:rFonts w:ascii="Tahoma" w:hAnsi="Tahoma" w:cs="Tahoma"/>
          <w:bCs/>
          <w:iCs/>
          <w:sz w:val="20"/>
          <w:szCs w:val="20"/>
        </w:rPr>
        <w:t>E</w:t>
      </w:r>
      <w:r w:rsidRPr="009D3B5A">
        <w:rPr>
          <w:rFonts w:ascii="Tahoma" w:hAnsi="Tahoma" w:cs="Tahoma"/>
          <w:bCs/>
          <w:iCs/>
          <w:sz w:val="20"/>
          <w:szCs w:val="20"/>
          <w:lang w:val="el-GR"/>
        </w:rPr>
        <w:t>.</w:t>
      </w:r>
      <w:r w:rsidRPr="00B019D0">
        <w:rPr>
          <w:rFonts w:ascii="Tahoma" w:hAnsi="Tahoma" w:cs="Tahoma"/>
          <w:bCs/>
          <w:iCs/>
          <w:sz w:val="20"/>
          <w:szCs w:val="20"/>
        </w:rPr>
        <w:t>I</w:t>
      </w:r>
      <w:r w:rsidRPr="009D3B5A">
        <w:rPr>
          <w:rFonts w:ascii="Tahoma" w:hAnsi="Tahoma" w:cs="Tahoma"/>
          <w:bCs/>
          <w:iCs/>
          <w:sz w:val="20"/>
          <w:szCs w:val="20"/>
          <w:lang w:val="el-GR"/>
        </w:rPr>
        <w:t>.</w:t>
      </w:r>
      <w:r w:rsidRPr="00B019D0">
        <w:rPr>
          <w:rFonts w:ascii="Tahoma" w:hAnsi="Tahoma" w:cs="Tahoma"/>
          <w:bCs/>
          <w:iCs/>
          <w:sz w:val="20"/>
          <w:szCs w:val="20"/>
        </w:rPr>
        <w:t>F</w:t>
      </w:r>
      <w:r w:rsidRPr="009D3B5A">
        <w:rPr>
          <w:rFonts w:ascii="Tahoma" w:hAnsi="Tahoma" w:cs="Tahoma"/>
          <w:bCs/>
          <w:iCs/>
          <w:sz w:val="20"/>
          <w:szCs w:val="20"/>
          <w:lang w:val="el-GR"/>
        </w:rPr>
        <w:t xml:space="preserve">) και είμαστε μαζί τους στην διαδικασία </w:t>
      </w:r>
      <w:proofErr w:type="spellStart"/>
      <w:r w:rsidRPr="009D3B5A">
        <w:rPr>
          <w:rFonts w:ascii="Tahoma" w:hAnsi="Tahoma" w:cs="Tahoma"/>
          <w:bCs/>
          <w:iCs/>
          <w:sz w:val="20"/>
          <w:szCs w:val="20"/>
          <w:lang w:val="el-GR"/>
        </w:rPr>
        <w:t>συμβασιοποίησης</w:t>
      </w:r>
      <w:proofErr w:type="spellEnd"/>
      <w:r w:rsidRPr="009D3B5A">
        <w:rPr>
          <w:rFonts w:ascii="Tahoma" w:hAnsi="Tahoma" w:cs="Tahoma"/>
          <w:bCs/>
          <w:iCs/>
          <w:sz w:val="20"/>
          <w:szCs w:val="20"/>
          <w:lang w:val="el-GR"/>
        </w:rPr>
        <w:t xml:space="preserve"> της συμφωνίας. </w:t>
      </w:r>
    </w:p>
    <w:p w14:paraId="74F9482A" w14:textId="77777777" w:rsidR="009D3B5A" w:rsidRPr="00B019D0" w:rsidRDefault="009D3B5A" w:rsidP="009D3B5A">
      <w:pPr>
        <w:pStyle w:val="a9"/>
        <w:numPr>
          <w:ilvl w:val="0"/>
          <w:numId w:val="3"/>
        </w:numPr>
        <w:spacing w:after="120" w:line="240" w:lineRule="auto"/>
        <w:jc w:val="both"/>
        <w:rPr>
          <w:rFonts w:ascii="Tahoma" w:hAnsi="Tahoma" w:cs="Tahoma"/>
          <w:bCs/>
          <w:iCs/>
          <w:sz w:val="20"/>
          <w:szCs w:val="20"/>
        </w:rPr>
      </w:pPr>
      <w:r w:rsidRPr="009D3B5A">
        <w:rPr>
          <w:rFonts w:ascii="Tahoma" w:hAnsi="Tahoma" w:cs="Tahoma"/>
          <w:bCs/>
          <w:iCs/>
          <w:sz w:val="20"/>
          <w:szCs w:val="20"/>
          <w:lang w:val="el-GR"/>
        </w:rPr>
        <w:t xml:space="preserve">Υποβολή νέας πρότασης, επίσης στο </w:t>
      </w:r>
      <w:r w:rsidRPr="00B019D0">
        <w:rPr>
          <w:rFonts w:ascii="Tahoma" w:hAnsi="Tahoma" w:cs="Tahoma"/>
          <w:bCs/>
          <w:iCs/>
          <w:sz w:val="20"/>
          <w:szCs w:val="20"/>
        </w:rPr>
        <w:t>European</w:t>
      </w:r>
      <w:r w:rsidRPr="009D3B5A">
        <w:rPr>
          <w:rFonts w:ascii="Tahoma" w:hAnsi="Tahoma" w:cs="Tahoma"/>
          <w:bCs/>
          <w:iCs/>
          <w:sz w:val="20"/>
          <w:szCs w:val="20"/>
          <w:lang w:val="el-GR"/>
        </w:rPr>
        <w:t xml:space="preserve"> </w:t>
      </w:r>
      <w:r w:rsidRPr="00B019D0">
        <w:rPr>
          <w:rFonts w:ascii="Tahoma" w:hAnsi="Tahoma" w:cs="Tahoma"/>
          <w:bCs/>
          <w:iCs/>
          <w:sz w:val="20"/>
          <w:szCs w:val="20"/>
        </w:rPr>
        <w:t>Investment</w:t>
      </w:r>
      <w:r w:rsidRPr="009D3B5A">
        <w:rPr>
          <w:rFonts w:ascii="Tahoma" w:hAnsi="Tahoma" w:cs="Tahoma"/>
          <w:bCs/>
          <w:iCs/>
          <w:sz w:val="20"/>
          <w:szCs w:val="20"/>
          <w:lang w:val="el-GR"/>
        </w:rPr>
        <w:t xml:space="preserve"> </w:t>
      </w:r>
      <w:r w:rsidRPr="00B019D0">
        <w:rPr>
          <w:rFonts w:ascii="Tahoma" w:hAnsi="Tahoma" w:cs="Tahoma"/>
          <w:bCs/>
          <w:iCs/>
          <w:sz w:val="20"/>
          <w:szCs w:val="20"/>
        </w:rPr>
        <w:t>Fund</w:t>
      </w:r>
      <w:r w:rsidRPr="009D3B5A">
        <w:rPr>
          <w:rFonts w:ascii="Tahoma" w:hAnsi="Tahoma" w:cs="Tahoma"/>
          <w:bCs/>
          <w:iCs/>
          <w:sz w:val="20"/>
          <w:szCs w:val="20"/>
          <w:lang w:val="el-GR"/>
        </w:rPr>
        <w:t xml:space="preserve"> (</w:t>
      </w:r>
      <w:r w:rsidRPr="00B019D0">
        <w:rPr>
          <w:rFonts w:ascii="Tahoma" w:hAnsi="Tahoma" w:cs="Tahoma"/>
          <w:bCs/>
          <w:iCs/>
          <w:sz w:val="20"/>
          <w:szCs w:val="20"/>
        </w:rPr>
        <w:t>E</w:t>
      </w:r>
      <w:r w:rsidRPr="009D3B5A">
        <w:rPr>
          <w:rFonts w:ascii="Tahoma" w:hAnsi="Tahoma" w:cs="Tahoma"/>
          <w:bCs/>
          <w:iCs/>
          <w:sz w:val="20"/>
          <w:szCs w:val="20"/>
          <w:lang w:val="el-GR"/>
        </w:rPr>
        <w:t>.</w:t>
      </w:r>
      <w:r w:rsidRPr="00B019D0">
        <w:rPr>
          <w:rFonts w:ascii="Tahoma" w:hAnsi="Tahoma" w:cs="Tahoma"/>
          <w:bCs/>
          <w:iCs/>
          <w:sz w:val="20"/>
          <w:szCs w:val="20"/>
        </w:rPr>
        <w:t>I</w:t>
      </w:r>
      <w:r w:rsidRPr="009D3B5A">
        <w:rPr>
          <w:rFonts w:ascii="Tahoma" w:hAnsi="Tahoma" w:cs="Tahoma"/>
          <w:bCs/>
          <w:iCs/>
          <w:sz w:val="20"/>
          <w:szCs w:val="20"/>
          <w:lang w:val="el-GR"/>
        </w:rPr>
        <w:t>.</w:t>
      </w:r>
      <w:r w:rsidRPr="00B019D0">
        <w:rPr>
          <w:rFonts w:ascii="Tahoma" w:hAnsi="Tahoma" w:cs="Tahoma"/>
          <w:bCs/>
          <w:iCs/>
          <w:sz w:val="20"/>
          <w:szCs w:val="20"/>
        </w:rPr>
        <w:t>F</w:t>
      </w:r>
      <w:r w:rsidRPr="009D3B5A">
        <w:rPr>
          <w:rFonts w:ascii="Tahoma" w:hAnsi="Tahoma" w:cs="Tahoma"/>
          <w:bCs/>
          <w:iCs/>
          <w:sz w:val="20"/>
          <w:szCs w:val="20"/>
          <w:lang w:val="el-GR"/>
        </w:rPr>
        <w:t xml:space="preserve"> ) , σχετικά με το χρηματοδοτικό εργαλείο </w:t>
      </w:r>
      <w:r w:rsidRPr="00B019D0">
        <w:rPr>
          <w:rFonts w:ascii="Tahoma" w:hAnsi="Tahoma" w:cs="Tahoma"/>
          <w:bCs/>
          <w:iCs/>
          <w:sz w:val="20"/>
          <w:szCs w:val="20"/>
        </w:rPr>
        <w:t>New</w:t>
      </w:r>
      <w:r w:rsidRPr="009D3B5A">
        <w:rPr>
          <w:rFonts w:ascii="Tahoma" w:hAnsi="Tahoma" w:cs="Tahoma"/>
          <w:bCs/>
          <w:iCs/>
          <w:sz w:val="20"/>
          <w:szCs w:val="20"/>
          <w:lang w:val="el-GR"/>
        </w:rPr>
        <w:t xml:space="preserve"> </w:t>
      </w:r>
      <w:r w:rsidRPr="00B019D0">
        <w:rPr>
          <w:rFonts w:ascii="Tahoma" w:hAnsi="Tahoma" w:cs="Tahoma"/>
          <w:bCs/>
          <w:iCs/>
          <w:sz w:val="20"/>
          <w:szCs w:val="20"/>
        </w:rPr>
        <w:t>ESIF</w:t>
      </w:r>
      <w:r w:rsidRPr="009D3B5A">
        <w:rPr>
          <w:rFonts w:ascii="Tahoma" w:hAnsi="Tahoma" w:cs="Tahoma"/>
          <w:bCs/>
          <w:iCs/>
          <w:sz w:val="20"/>
          <w:szCs w:val="20"/>
          <w:lang w:val="el-GR"/>
        </w:rPr>
        <w:t>-</w:t>
      </w:r>
      <w:r w:rsidRPr="00B019D0">
        <w:rPr>
          <w:rFonts w:ascii="Tahoma" w:hAnsi="Tahoma" w:cs="Tahoma"/>
          <w:bCs/>
          <w:iCs/>
          <w:sz w:val="20"/>
          <w:szCs w:val="20"/>
        </w:rPr>
        <w:t>ERDF</w:t>
      </w:r>
      <w:r w:rsidRPr="009D3B5A">
        <w:rPr>
          <w:rFonts w:ascii="Tahoma" w:hAnsi="Tahoma" w:cs="Tahoma"/>
          <w:bCs/>
          <w:iCs/>
          <w:sz w:val="20"/>
          <w:szCs w:val="20"/>
          <w:lang w:val="el-GR"/>
        </w:rPr>
        <w:t xml:space="preserve"> </w:t>
      </w:r>
      <w:r w:rsidRPr="00B019D0">
        <w:rPr>
          <w:rFonts w:ascii="Tahoma" w:hAnsi="Tahoma" w:cs="Tahoma"/>
          <w:bCs/>
          <w:iCs/>
          <w:sz w:val="20"/>
          <w:szCs w:val="20"/>
        </w:rPr>
        <w:t>Guarantee</w:t>
      </w:r>
      <w:r w:rsidRPr="009D3B5A">
        <w:rPr>
          <w:rFonts w:ascii="Tahoma" w:hAnsi="Tahoma" w:cs="Tahoma"/>
          <w:bCs/>
          <w:iCs/>
          <w:sz w:val="20"/>
          <w:szCs w:val="20"/>
          <w:lang w:val="el-GR"/>
        </w:rPr>
        <w:t xml:space="preserve"> </w:t>
      </w:r>
      <w:r w:rsidRPr="00B019D0">
        <w:rPr>
          <w:rFonts w:ascii="Tahoma" w:hAnsi="Tahoma" w:cs="Tahoma"/>
          <w:bCs/>
          <w:iCs/>
          <w:sz w:val="20"/>
          <w:szCs w:val="20"/>
        </w:rPr>
        <w:t>Fund</w:t>
      </w:r>
      <w:r w:rsidRPr="009D3B5A">
        <w:rPr>
          <w:rFonts w:ascii="Tahoma" w:hAnsi="Tahoma" w:cs="Tahoma"/>
          <w:bCs/>
          <w:iCs/>
          <w:sz w:val="20"/>
          <w:szCs w:val="20"/>
          <w:lang w:val="el-GR"/>
        </w:rPr>
        <w:t xml:space="preserve"> </w:t>
      </w:r>
      <w:r w:rsidRPr="00B019D0">
        <w:rPr>
          <w:rFonts w:ascii="Tahoma" w:hAnsi="Tahoma" w:cs="Tahoma"/>
          <w:bCs/>
          <w:iCs/>
          <w:sz w:val="20"/>
          <w:szCs w:val="20"/>
        </w:rPr>
        <w:t>initiative</w:t>
      </w:r>
      <w:r w:rsidRPr="009D3B5A">
        <w:rPr>
          <w:rFonts w:ascii="Tahoma" w:hAnsi="Tahoma" w:cs="Tahoma"/>
          <w:bCs/>
          <w:iCs/>
          <w:sz w:val="20"/>
          <w:szCs w:val="20"/>
          <w:lang w:val="el-GR"/>
        </w:rPr>
        <w:t xml:space="preserve"> </w:t>
      </w:r>
      <w:r w:rsidRPr="00B019D0">
        <w:rPr>
          <w:rFonts w:ascii="Tahoma" w:hAnsi="Tahoma" w:cs="Tahoma"/>
          <w:bCs/>
          <w:iCs/>
          <w:sz w:val="20"/>
          <w:szCs w:val="20"/>
        </w:rPr>
        <w:t>in</w:t>
      </w:r>
      <w:r w:rsidRPr="009D3B5A">
        <w:rPr>
          <w:rFonts w:ascii="Tahoma" w:hAnsi="Tahoma" w:cs="Tahoma"/>
          <w:bCs/>
          <w:iCs/>
          <w:sz w:val="20"/>
          <w:szCs w:val="20"/>
          <w:lang w:val="el-GR"/>
        </w:rPr>
        <w:t xml:space="preserve"> </w:t>
      </w:r>
      <w:r w:rsidRPr="00B019D0">
        <w:rPr>
          <w:rFonts w:ascii="Tahoma" w:hAnsi="Tahoma" w:cs="Tahoma"/>
          <w:bCs/>
          <w:iCs/>
          <w:sz w:val="20"/>
          <w:szCs w:val="20"/>
        </w:rPr>
        <w:t>Greece</w:t>
      </w:r>
      <w:r w:rsidRPr="009D3B5A">
        <w:rPr>
          <w:rFonts w:ascii="Tahoma" w:hAnsi="Tahoma" w:cs="Tahoma"/>
          <w:bCs/>
          <w:iCs/>
          <w:sz w:val="20"/>
          <w:szCs w:val="20"/>
          <w:lang w:val="el-GR"/>
        </w:rPr>
        <w:t xml:space="preserve"> </w:t>
      </w:r>
      <w:r w:rsidRPr="00B019D0">
        <w:rPr>
          <w:rFonts w:ascii="Tahoma" w:hAnsi="Tahoma" w:cs="Tahoma"/>
          <w:bCs/>
          <w:iCs/>
          <w:sz w:val="20"/>
          <w:szCs w:val="20"/>
        </w:rPr>
        <w:t>Fund</w:t>
      </w:r>
      <w:r w:rsidRPr="009D3B5A">
        <w:rPr>
          <w:rFonts w:ascii="Tahoma" w:hAnsi="Tahoma" w:cs="Tahoma"/>
          <w:bCs/>
          <w:iCs/>
          <w:sz w:val="20"/>
          <w:szCs w:val="20"/>
          <w:lang w:val="el-GR"/>
        </w:rPr>
        <w:t xml:space="preserve"> </w:t>
      </w:r>
      <w:r w:rsidRPr="00B019D0">
        <w:rPr>
          <w:rFonts w:ascii="Tahoma" w:hAnsi="Tahoma" w:cs="Tahoma"/>
          <w:bCs/>
          <w:iCs/>
          <w:sz w:val="20"/>
          <w:szCs w:val="20"/>
        </w:rPr>
        <w:t>of</w:t>
      </w:r>
      <w:r w:rsidRPr="009D3B5A">
        <w:rPr>
          <w:rFonts w:ascii="Tahoma" w:hAnsi="Tahoma" w:cs="Tahoma"/>
          <w:bCs/>
          <w:iCs/>
          <w:sz w:val="20"/>
          <w:szCs w:val="20"/>
          <w:lang w:val="el-GR"/>
        </w:rPr>
        <w:t xml:space="preserve"> </w:t>
      </w:r>
      <w:r w:rsidRPr="00B019D0">
        <w:rPr>
          <w:rFonts w:ascii="Tahoma" w:hAnsi="Tahoma" w:cs="Tahoma"/>
          <w:bCs/>
          <w:iCs/>
          <w:sz w:val="20"/>
          <w:szCs w:val="20"/>
        </w:rPr>
        <w:t>Funds</w:t>
      </w:r>
      <w:r w:rsidRPr="009D3B5A">
        <w:rPr>
          <w:rFonts w:ascii="Tahoma" w:hAnsi="Tahoma" w:cs="Tahoma"/>
          <w:bCs/>
          <w:iCs/>
          <w:sz w:val="20"/>
          <w:szCs w:val="20"/>
          <w:lang w:val="el-GR"/>
        </w:rPr>
        <w:t xml:space="preserve">, για τη χρηματοδότηση  δικαιούχων  που εντάσσονται στο πρόγραμμα ΕΠΑΝΕΚ ( ΕΣΠΑ ) και περιλαμβάνει ευρύτερο εύρος δυνητικών δικαιούχων όπως ενίσχυση της </w:t>
      </w:r>
      <w:proofErr w:type="spellStart"/>
      <w:r w:rsidRPr="009D3B5A">
        <w:rPr>
          <w:rFonts w:ascii="Tahoma" w:hAnsi="Tahoma" w:cs="Tahoma"/>
          <w:bCs/>
          <w:iCs/>
          <w:sz w:val="20"/>
          <w:szCs w:val="20"/>
          <w:lang w:val="el-GR"/>
        </w:rPr>
        <w:lastRenderedPageBreak/>
        <w:t>αυτοαπασχόλησης</w:t>
      </w:r>
      <w:proofErr w:type="spellEnd"/>
      <w:r w:rsidRPr="009D3B5A">
        <w:rPr>
          <w:rFonts w:ascii="Tahoma" w:hAnsi="Tahoma" w:cs="Tahoma"/>
          <w:bCs/>
          <w:iCs/>
          <w:sz w:val="20"/>
          <w:szCs w:val="20"/>
          <w:lang w:val="el-GR"/>
        </w:rPr>
        <w:t xml:space="preserve"> πτυχιούχων τριτοβάθμιας εκπαίδευσης , νεοφυής επιχειρηματικότητα , ψηφιακό άλμα , ψηφιακό βήμα, αναβάθμιση πολύ μικρών και μικρών επιχειρήσεων, νέων τουριστικών ΜΜΕ, ενίσχυση τουρισμού , εργαλειοθήκη ανταγωνιστικότητας </w:t>
      </w:r>
      <w:proofErr w:type="spellStart"/>
      <w:r w:rsidRPr="009D3B5A">
        <w:rPr>
          <w:rFonts w:ascii="Tahoma" w:hAnsi="Tahoma" w:cs="Tahoma"/>
          <w:bCs/>
          <w:iCs/>
          <w:sz w:val="20"/>
          <w:szCs w:val="20"/>
          <w:lang w:val="el-GR"/>
        </w:rPr>
        <w:t>κλπ</w:t>
      </w:r>
      <w:proofErr w:type="spellEnd"/>
      <w:r w:rsidRPr="009D3B5A">
        <w:rPr>
          <w:rFonts w:ascii="Tahoma" w:hAnsi="Tahoma" w:cs="Tahoma"/>
          <w:bCs/>
          <w:iCs/>
          <w:sz w:val="20"/>
          <w:szCs w:val="20"/>
          <w:lang w:val="el-GR"/>
        </w:rPr>
        <w:t xml:space="preserve"> . </w:t>
      </w:r>
      <w:r w:rsidRPr="00B019D0">
        <w:rPr>
          <w:rFonts w:ascii="Tahoma" w:hAnsi="Tahoma" w:cs="Tahoma"/>
          <w:bCs/>
          <w:iCs/>
          <w:sz w:val="20"/>
          <w:szCs w:val="20"/>
        </w:rPr>
        <w:t xml:space="preserve">Τα </w:t>
      </w:r>
      <w:proofErr w:type="spellStart"/>
      <w:r w:rsidRPr="00B019D0">
        <w:rPr>
          <w:rFonts w:ascii="Tahoma" w:hAnsi="Tahoma" w:cs="Tahoma"/>
          <w:bCs/>
          <w:iCs/>
          <w:sz w:val="20"/>
          <w:szCs w:val="20"/>
        </w:rPr>
        <w:t>εν</w:t>
      </w:r>
      <w:proofErr w:type="spellEnd"/>
      <w:r w:rsidRPr="00B019D0">
        <w:rPr>
          <w:rFonts w:ascii="Tahoma" w:hAnsi="Tahoma" w:cs="Tahoma"/>
          <w:bCs/>
          <w:iCs/>
          <w:sz w:val="20"/>
          <w:szCs w:val="20"/>
        </w:rPr>
        <w:t xml:space="preserve"> </w:t>
      </w:r>
      <w:proofErr w:type="spellStart"/>
      <w:r w:rsidRPr="00B019D0">
        <w:rPr>
          <w:rFonts w:ascii="Tahoma" w:hAnsi="Tahoma" w:cs="Tahoma"/>
          <w:bCs/>
          <w:iCs/>
          <w:sz w:val="20"/>
          <w:szCs w:val="20"/>
        </w:rPr>
        <w:t>λόγω</w:t>
      </w:r>
      <w:proofErr w:type="spellEnd"/>
      <w:r w:rsidRPr="00B019D0">
        <w:rPr>
          <w:rFonts w:ascii="Tahoma" w:hAnsi="Tahoma" w:cs="Tahoma"/>
          <w:bCs/>
          <w:iCs/>
          <w:sz w:val="20"/>
          <w:szCs w:val="20"/>
        </w:rPr>
        <w:t xml:space="preserve"> </w:t>
      </w:r>
      <w:proofErr w:type="spellStart"/>
      <w:r w:rsidRPr="00B019D0">
        <w:rPr>
          <w:rFonts w:ascii="Tahoma" w:hAnsi="Tahoma" w:cs="Tahoma"/>
          <w:bCs/>
          <w:iCs/>
          <w:sz w:val="20"/>
          <w:szCs w:val="20"/>
        </w:rPr>
        <w:t>δύο</w:t>
      </w:r>
      <w:proofErr w:type="spellEnd"/>
      <w:r w:rsidRPr="00B019D0">
        <w:rPr>
          <w:rFonts w:ascii="Tahoma" w:hAnsi="Tahoma" w:cs="Tahoma"/>
          <w:bCs/>
          <w:iCs/>
          <w:sz w:val="20"/>
          <w:szCs w:val="20"/>
        </w:rPr>
        <w:t xml:space="preserve"> π</w:t>
      </w:r>
      <w:proofErr w:type="spellStart"/>
      <w:r w:rsidRPr="00B019D0">
        <w:rPr>
          <w:rFonts w:ascii="Tahoma" w:hAnsi="Tahoma" w:cs="Tahoma"/>
          <w:bCs/>
          <w:iCs/>
          <w:sz w:val="20"/>
          <w:szCs w:val="20"/>
        </w:rPr>
        <w:t>ρογράμμ</w:t>
      </w:r>
      <w:proofErr w:type="spellEnd"/>
      <w:r w:rsidRPr="00B019D0">
        <w:rPr>
          <w:rFonts w:ascii="Tahoma" w:hAnsi="Tahoma" w:cs="Tahoma"/>
          <w:bCs/>
          <w:iCs/>
          <w:sz w:val="20"/>
          <w:szCs w:val="20"/>
        </w:rPr>
        <w:t xml:space="preserve">ατα θα </w:t>
      </w:r>
      <w:proofErr w:type="spellStart"/>
      <w:r w:rsidRPr="00B019D0">
        <w:rPr>
          <w:rFonts w:ascii="Tahoma" w:hAnsi="Tahoma" w:cs="Tahoma"/>
          <w:bCs/>
          <w:iCs/>
          <w:sz w:val="20"/>
          <w:szCs w:val="20"/>
        </w:rPr>
        <w:t>είν</w:t>
      </w:r>
      <w:proofErr w:type="spellEnd"/>
      <w:r w:rsidRPr="00B019D0">
        <w:rPr>
          <w:rFonts w:ascii="Tahoma" w:hAnsi="Tahoma" w:cs="Tahoma"/>
          <w:bCs/>
          <w:iCs/>
          <w:sz w:val="20"/>
          <w:szCs w:val="20"/>
        </w:rPr>
        <w:t xml:space="preserve">αι </w:t>
      </w:r>
      <w:proofErr w:type="spellStart"/>
      <w:r w:rsidRPr="00B019D0">
        <w:rPr>
          <w:rFonts w:ascii="Tahoma" w:hAnsi="Tahoma" w:cs="Tahoma"/>
          <w:bCs/>
          <w:iCs/>
          <w:sz w:val="20"/>
          <w:szCs w:val="20"/>
        </w:rPr>
        <w:t>άμεσ</w:t>
      </w:r>
      <w:proofErr w:type="spellEnd"/>
      <w:r w:rsidRPr="00B019D0">
        <w:rPr>
          <w:rFonts w:ascii="Tahoma" w:hAnsi="Tahoma" w:cs="Tahoma"/>
          <w:bCs/>
          <w:iCs/>
          <w:sz w:val="20"/>
          <w:szCs w:val="20"/>
        </w:rPr>
        <w:t xml:space="preserve">α </w:t>
      </w:r>
      <w:proofErr w:type="spellStart"/>
      <w:r w:rsidRPr="00B019D0">
        <w:rPr>
          <w:rFonts w:ascii="Tahoma" w:hAnsi="Tahoma" w:cs="Tahoma"/>
          <w:bCs/>
          <w:iCs/>
          <w:sz w:val="20"/>
          <w:szCs w:val="20"/>
        </w:rPr>
        <w:t>δι</w:t>
      </w:r>
      <w:proofErr w:type="spellEnd"/>
      <w:r w:rsidRPr="00B019D0">
        <w:rPr>
          <w:rFonts w:ascii="Tahoma" w:hAnsi="Tahoma" w:cs="Tahoma"/>
          <w:bCs/>
          <w:iCs/>
          <w:sz w:val="20"/>
          <w:szCs w:val="20"/>
        </w:rPr>
        <w:t xml:space="preserve">αθέσιμα. </w:t>
      </w:r>
    </w:p>
    <w:p w14:paraId="1A5256D7" w14:textId="77777777" w:rsidR="009D3B5A" w:rsidRPr="009D3B5A" w:rsidRDefault="009D3B5A" w:rsidP="009D3B5A">
      <w:pPr>
        <w:pStyle w:val="a9"/>
        <w:numPr>
          <w:ilvl w:val="0"/>
          <w:numId w:val="3"/>
        </w:num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Συνεργασία με εταιρείες γεωργικού εξοπλισμού για την προώθηση δανείων προς τους αγρότες μέσω προγραμμάτων των σχεδίων βελτίωσης 4.1.1 και 4.1.3.</w:t>
      </w:r>
    </w:p>
    <w:p w14:paraId="63DA3904" w14:textId="77777777" w:rsidR="009D3B5A" w:rsidRPr="009D3B5A" w:rsidRDefault="009D3B5A" w:rsidP="009D3B5A">
      <w:pPr>
        <w:pStyle w:val="a9"/>
        <w:numPr>
          <w:ilvl w:val="0"/>
          <w:numId w:val="3"/>
        </w:num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Συνέχιση της συμμετοχής στα προγράμματα της Αναπτυξιακής Τράπεζας, του Ταμείου Επιχειρηματικότητας (ΤΕΠΙΧ), του Ταμείου Εγγυήσεων και νέων προγραμμάτων με σκοπό την ενίσχυση της τοπικής επιχειρηματικότητας.</w:t>
      </w:r>
    </w:p>
    <w:p w14:paraId="45CA3029" w14:textId="77777777" w:rsidR="009D3B5A" w:rsidRPr="009D3B5A" w:rsidRDefault="009D3B5A" w:rsidP="009D3B5A">
      <w:pPr>
        <w:pStyle w:val="a9"/>
        <w:numPr>
          <w:ilvl w:val="0"/>
          <w:numId w:val="3"/>
        </w:num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Έναρξη διαδικασιών υλοποίησης ΕΚΕ στην Περιφερειακή Ενότητα Μαγνησίας.</w:t>
      </w:r>
    </w:p>
    <w:p w14:paraId="78A66956" w14:textId="77777777" w:rsidR="009D3B5A" w:rsidRPr="00B019D0" w:rsidRDefault="009D3B5A" w:rsidP="009D3B5A">
      <w:pPr>
        <w:pStyle w:val="a9"/>
        <w:numPr>
          <w:ilvl w:val="0"/>
          <w:numId w:val="3"/>
        </w:numPr>
        <w:spacing w:after="120" w:line="240" w:lineRule="auto"/>
        <w:jc w:val="both"/>
        <w:rPr>
          <w:rFonts w:ascii="Tahoma" w:hAnsi="Tahoma" w:cs="Tahoma"/>
          <w:bCs/>
          <w:iCs/>
          <w:sz w:val="20"/>
          <w:szCs w:val="20"/>
        </w:rPr>
      </w:pPr>
      <w:proofErr w:type="spellStart"/>
      <w:r w:rsidRPr="00B019D0">
        <w:rPr>
          <w:rFonts w:ascii="Tahoma" w:hAnsi="Tahoma" w:cs="Tahoma"/>
          <w:bCs/>
          <w:iCs/>
          <w:sz w:val="20"/>
          <w:szCs w:val="20"/>
        </w:rPr>
        <w:t>Περ</w:t>
      </w:r>
      <w:proofErr w:type="spellEnd"/>
      <w:r w:rsidRPr="00B019D0">
        <w:rPr>
          <w:rFonts w:ascii="Tahoma" w:hAnsi="Tahoma" w:cs="Tahoma"/>
          <w:bCs/>
          <w:iCs/>
          <w:sz w:val="20"/>
          <w:szCs w:val="20"/>
        </w:rPr>
        <w:t>αιτέρω α</w:t>
      </w:r>
      <w:proofErr w:type="spellStart"/>
      <w:r w:rsidRPr="00B019D0">
        <w:rPr>
          <w:rFonts w:ascii="Tahoma" w:hAnsi="Tahoma" w:cs="Tahoma"/>
          <w:bCs/>
          <w:iCs/>
          <w:sz w:val="20"/>
          <w:szCs w:val="20"/>
        </w:rPr>
        <w:t>νά</w:t>
      </w:r>
      <w:proofErr w:type="spellEnd"/>
      <w:r w:rsidRPr="00B019D0">
        <w:rPr>
          <w:rFonts w:ascii="Tahoma" w:hAnsi="Tahoma" w:cs="Tahoma"/>
          <w:bCs/>
          <w:iCs/>
          <w:sz w:val="20"/>
          <w:szCs w:val="20"/>
        </w:rPr>
        <w:t>πτυξη α</w:t>
      </w:r>
      <w:proofErr w:type="spellStart"/>
      <w:r w:rsidRPr="00B019D0">
        <w:rPr>
          <w:rFonts w:ascii="Tahoma" w:hAnsi="Tahoma" w:cs="Tahoma"/>
          <w:bCs/>
          <w:iCs/>
          <w:sz w:val="20"/>
          <w:szCs w:val="20"/>
        </w:rPr>
        <w:t>σφ</w:t>
      </w:r>
      <w:proofErr w:type="spellEnd"/>
      <w:r w:rsidRPr="00B019D0">
        <w:rPr>
          <w:rFonts w:ascii="Tahoma" w:hAnsi="Tahoma" w:cs="Tahoma"/>
          <w:bCs/>
          <w:iCs/>
          <w:sz w:val="20"/>
          <w:szCs w:val="20"/>
        </w:rPr>
        <w:t xml:space="preserve">αλιστικών </w:t>
      </w:r>
      <w:proofErr w:type="spellStart"/>
      <w:r w:rsidRPr="00B019D0">
        <w:rPr>
          <w:rFonts w:ascii="Tahoma" w:hAnsi="Tahoma" w:cs="Tahoma"/>
          <w:bCs/>
          <w:iCs/>
          <w:sz w:val="20"/>
          <w:szCs w:val="20"/>
        </w:rPr>
        <w:t>εργ</w:t>
      </w:r>
      <w:proofErr w:type="spellEnd"/>
      <w:r w:rsidRPr="00B019D0">
        <w:rPr>
          <w:rFonts w:ascii="Tahoma" w:hAnsi="Tahoma" w:cs="Tahoma"/>
          <w:bCs/>
          <w:iCs/>
          <w:sz w:val="20"/>
          <w:szCs w:val="20"/>
        </w:rPr>
        <w:t>ασιών.</w:t>
      </w:r>
    </w:p>
    <w:p w14:paraId="2323FD48" w14:textId="77777777" w:rsidR="009D3B5A" w:rsidRPr="009D3B5A" w:rsidRDefault="009D3B5A" w:rsidP="009D3B5A">
      <w:pPr>
        <w:pStyle w:val="a9"/>
        <w:numPr>
          <w:ilvl w:val="0"/>
          <w:numId w:val="3"/>
        </w:num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Προώθηση διάθεσης εταιρικών μερίδων - αύξηση Συνεταιριστικού Κεφαλαίου.</w:t>
      </w:r>
    </w:p>
    <w:p w14:paraId="36B88282" w14:textId="77777777" w:rsidR="009D3B5A" w:rsidRPr="009D3B5A" w:rsidRDefault="009D3B5A" w:rsidP="009D3B5A">
      <w:pPr>
        <w:pStyle w:val="a9"/>
        <w:numPr>
          <w:ilvl w:val="0"/>
          <w:numId w:val="3"/>
        </w:num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Συνέχιση της προσπάθειας για την πώληση χαρτοφυλακίου μέσω του προγράμματος «Ηρακλής» εφόσον το επιτρέπουν οι οικονομικές συνθήκες.</w:t>
      </w:r>
    </w:p>
    <w:p w14:paraId="5F73766A" w14:textId="77777777" w:rsidR="009D3B5A" w:rsidRPr="009D3B5A" w:rsidRDefault="009D3B5A" w:rsidP="009D3B5A">
      <w:pPr>
        <w:pStyle w:val="a9"/>
        <w:numPr>
          <w:ilvl w:val="0"/>
          <w:numId w:val="3"/>
        </w:num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Έκδοση ομολόγων μειωμένης εξασφάλισης ποσού 4,5 εκατ. ευρώ και μετατρέψιμων ομολόγων  ποσού 1 εκατ. ευρώ, για ενίσχυση των εποπτικών κεφαλαίων της Τράπεζας</w:t>
      </w:r>
    </w:p>
    <w:p w14:paraId="6B929B65" w14:textId="77777777" w:rsidR="009D3B5A" w:rsidRPr="009D3B5A" w:rsidRDefault="009D3B5A" w:rsidP="009D3B5A">
      <w:pPr>
        <w:pStyle w:val="a9"/>
        <w:numPr>
          <w:ilvl w:val="0"/>
          <w:numId w:val="3"/>
        </w:num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Προώθηση της Ιδέας της Αποταμίευσης στη Θεσσαλία.</w:t>
      </w:r>
    </w:p>
    <w:p w14:paraId="72605831" w14:textId="77777777" w:rsidR="009D3B5A" w:rsidRPr="00B019D0" w:rsidRDefault="009D3B5A" w:rsidP="009D3B5A">
      <w:pPr>
        <w:pStyle w:val="a9"/>
        <w:numPr>
          <w:ilvl w:val="0"/>
          <w:numId w:val="3"/>
        </w:numPr>
        <w:spacing w:after="120" w:line="240" w:lineRule="auto"/>
        <w:jc w:val="both"/>
        <w:rPr>
          <w:rFonts w:ascii="Tahoma" w:hAnsi="Tahoma" w:cs="Tahoma"/>
          <w:bCs/>
          <w:iCs/>
          <w:sz w:val="20"/>
          <w:szCs w:val="20"/>
        </w:rPr>
      </w:pPr>
      <w:proofErr w:type="spellStart"/>
      <w:r w:rsidRPr="00B019D0">
        <w:rPr>
          <w:rFonts w:ascii="Tahoma" w:hAnsi="Tahoma" w:cs="Tahoma"/>
          <w:bCs/>
          <w:iCs/>
          <w:sz w:val="20"/>
          <w:szCs w:val="20"/>
        </w:rPr>
        <w:t>Προώθηση</w:t>
      </w:r>
      <w:proofErr w:type="spellEnd"/>
      <w:r w:rsidRPr="00B019D0">
        <w:rPr>
          <w:rFonts w:ascii="Tahoma" w:hAnsi="Tahoma" w:cs="Tahoma"/>
          <w:bCs/>
          <w:iCs/>
          <w:sz w:val="20"/>
          <w:szCs w:val="20"/>
        </w:rPr>
        <w:t xml:space="preserve"> API's </w:t>
      </w:r>
      <w:proofErr w:type="spellStart"/>
      <w:r w:rsidRPr="00B019D0">
        <w:rPr>
          <w:rFonts w:ascii="Tahoma" w:hAnsi="Tahoma" w:cs="Tahoma"/>
          <w:bCs/>
          <w:iCs/>
          <w:sz w:val="20"/>
          <w:szCs w:val="20"/>
        </w:rPr>
        <w:t>εφ</w:t>
      </w:r>
      <w:proofErr w:type="spellEnd"/>
      <w:r w:rsidRPr="00B019D0">
        <w:rPr>
          <w:rFonts w:ascii="Tahoma" w:hAnsi="Tahoma" w:cs="Tahoma"/>
          <w:bCs/>
          <w:iCs/>
          <w:sz w:val="20"/>
          <w:szCs w:val="20"/>
        </w:rPr>
        <w:t>αρμογών (Open Banking).</w:t>
      </w:r>
    </w:p>
    <w:p w14:paraId="75243C38" w14:textId="77777777" w:rsidR="009D3B5A" w:rsidRPr="009D3B5A" w:rsidRDefault="009D3B5A" w:rsidP="009D3B5A">
      <w:pPr>
        <w:pStyle w:val="a9"/>
        <w:numPr>
          <w:ilvl w:val="0"/>
          <w:numId w:val="3"/>
        </w:num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Υλοποίηση σύμβασης επένδυσης στο "Ψηφιακό Άλμα", σύμφωνα με εγκεκριμένο προϋπολογισμό ύψους 400 χιλιάδων ευρώ για τον ψηφιακό μετασχηματισμό της Τράπεζας.</w:t>
      </w:r>
    </w:p>
    <w:p w14:paraId="0A272A41" w14:textId="77777777" w:rsidR="009D3B5A" w:rsidRPr="009D3B5A" w:rsidRDefault="009D3B5A" w:rsidP="009D3B5A">
      <w:pPr>
        <w:pStyle w:val="a9"/>
        <w:numPr>
          <w:ilvl w:val="0"/>
          <w:numId w:val="3"/>
        </w:numPr>
        <w:spacing w:after="120" w:line="240" w:lineRule="auto"/>
        <w:jc w:val="both"/>
        <w:rPr>
          <w:rFonts w:ascii="Tahoma" w:hAnsi="Tahoma" w:cs="Tahoma"/>
          <w:bCs/>
          <w:iCs/>
          <w:sz w:val="20"/>
          <w:szCs w:val="20"/>
          <w:lang w:val="el-GR"/>
        </w:rPr>
      </w:pPr>
      <w:r w:rsidRPr="009D3B5A">
        <w:rPr>
          <w:rFonts w:ascii="Tahoma" w:hAnsi="Tahoma" w:cs="Tahoma"/>
          <w:bCs/>
          <w:iCs/>
          <w:sz w:val="20"/>
          <w:szCs w:val="20"/>
          <w:lang w:val="el-GR"/>
        </w:rPr>
        <w:t xml:space="preserve">Συνεχής διαδικασία πληροφόρησης επιχειρήσεων, φορέων, συλλογικοτήτων σε όλη τη Θεσσαλία για τη δράση και τις δυνατότητες συνεργασίας με τη Συνεταιριστική Τράπεζα Θεσσαλίας. </w:t>
      </w:r>
    </w:p>
    <w:p w14:paraId="137EA732" w14:textId="32DE344C" w:rsidR="009D3B5A" w:rsidRPr="009D3B5A" w:rsidRDefault="009D3B5A" w:rsidP="009D3B5A">
      <w:pPr>
        <w:spacing w:after="120" w:line="240" w:lineRule="auto"/>
        <w:ind w:firstLine="425"/>
        <w:jc w:val="both"/>
        <w:rPr>
          <w:rFonts w:ascii="Tahoma" w:hAnsi="Tahoma" w:cs="Tahoma"/>
          <w:bCs/>
          <w:iCs/>
          <w:sz w:val="20"/>
          <w:szCs w:val="20"/>
          <w:lang w:val="el-GR"/>
        </w:rPr>
      </w:pPr>
      <w:r w:rsidRPr="00D23046">
        <w:rPr>
          <w:rFonts w:ascii="Tahoma" w:hAnsi="Tahoma" w:cs="Tahoma"/>
          <w:bCs/>
          <w:iCs/>
          <w:sz w:val="20"/>
          <w:szCs w:val="20"/>
        </w:rPr>
        <w:t> </w:t>
      </w:r>
    </w:p>
    <w:p w14:paraId="7CE0EA33" w14:textId="77777777" w:rsidR="009D3B5A" w:rsidRPr="009D3B5A" w:rsidRDefault="009D3B5A" w:rsidP="009D3B5A">
      <w:pPr>
        <w:spacing w:after="120" w:line="240" w:lineRule="auto"/>
        <w:jc w:val="both"/>
        <w:rPr>
          <w:rFonts w:ascii="Tahoma" w:hAnsi="Tahoma" w:cs="Tahoma"/>
          <w:b/>
          <w:bCs/>
          <w:iCs/>
          <w:sz w:val="20"/>
          <w:szCs w:val="20"/>
          <w:lang w:val="el-GR"/>
        </w:rPr>
      </w:pPr>
      <w:r w:rsidRPr="009D3B5A">
        <w:rPr>
          <w:rFonts w:ascii="Tahoma" w:hAnsi="Tahoma" w:cs="Tahoma"/>
          <w:b/>
          <w:bCs/>
          <w:iCs/>
          <w:sz w:val="20"/>
          <w:szCs w:val="20"/>
          <w:u w:val="single"/>
          <w:lang w:val="el-GR"/>
        </w:rPr>
        <w:t>Συναλλαγές με συνδεδεμένα μέρη</w:t>
      </w:r>
      <w:r w:rsidRPr="009D3B5A">
        <w:rPr>
          <w:rFonts w:ascii="Tahoma" w:hAnsi="Tahoma" w:cs="Tahoma"/>
          <w:b/>
          <w:bCs/>
          <w:iCs/>
          <w:sz w:val="20"/>
          <w:szCs w:val="20"/>
          <w:lang w:val="el-GR"/>
        </w:rPr>
        <w:t xml:space="preserve"> </w:t>
      </w:r>
    </w:p>
    <w:p w14:paraId="5B85B0D8" w14:textId="77777777" w:rsidR="009D3B5A" w:rsidRPr="009D3B5A" w:rsidRDefault="009D3B5A" w:rsidP="009D3B5A">
      <w:pPr>
        <w:spacing w:after="120" w:line="240" w:lineRule="auto"/>
        <w:jc w:val="both"/>
        <w:rPr>
          <w:rFonts w:ascii="Tahoma" w:hAnsi="Tahoma" w:cs="Tahoma"/>
          <w:b/>
          <w:bCs/>
          <w:iCs/>
          <w:sz w:val="20"/>
          <w:szCs w:val="20"/>
          <w:lang w:val="el-GR"/>
        </w:rPr>
      </w:pPr>
      <w:r w:rsidRPr="009D3B5A">
        <w:rPr>
          <w:rFonts w:ascii="Tahoma" w:hAnsi="Tahoma" w:cs="Tahoma"/>
          <w:bCs/>
          <w:iCs/>
          <w:sz w:val="20"/>
          <w:szCs w:val="20"/>
          <w:lang w:val="el-GR"/>
        </w:rPr>
        <w:t xml:space="preserve">Όλες οι συναλλαγές με συνδεδεμένα μέρη έχουν πραγματοποιηθεί μέσα στα συνήθη πλαίσια των εργασιών της Τράπεζας και σε συνθήκες και όρους αγοράς. Επιπλέον ανάλυση παρέχεται στη σημείωση 33 των χρηματοοικονομικών καταστάσεων. </w:t>
      </w:r>
    </w:p>
    <w:p w14:paraId="6568B4D0" w14:textId="31EAB6E8" w:rsidR="009D3B5A" w:rsidRPr="009D3B5A" w:rsidRDefault="009D3B5A" w:rsidP="009D3B5A">
      <w:pPr>
        <w:spacing w:after="120"/>
        <w:jc w:val="both"/>
        <w:rPr>
          <w:rFonts w:ascii="Tahoma" w:hAnsi="Tahoma" w:cs="Tahoma"/>
          <w:sz w:val="20"/>
          <w:szCs w:val="20"/>
          <w:lang w:val="el-GR"/>
        </w:rPr>
      </w:pPr>
    </w:p>
    <w:p w14:paraId="2E22DD2A" w14:textId="77777777" w:rsidR="009D3B5A" w:rsidRPr="009D3B5A" w:rsidRDefault="009D3B5A" w:rsidP="009D3B5A">
      <w:pPr>
        <w:pStyle w:val="a9"/>
        <w:spacing w:after="120" w:line="240" w:lineRule="auto"/>
        <w:ind w:left="0"/>
        <w:contextualSpacing w:val="0"/>
        <w:jc w:val="both"/>
        <w:rPr>
          <w:rFonts w:ascii="Tahoma" w:hAnsi="Tahoma" w:cs="Tahoma"/>
          <w:b/>
          <w:sz w:val="20"/>
          <w:szCs w:val="20"/>
          <w:lang w:val="el-GR"/>
        </w:rPr>
      </w:pPr>
      <w:r w:rsidRPr="009D3B5A">
        <w:rPr>
          <w:rFonts w:ascii="Tahoma" w:hAnsi="Tahoma" w:cs="Tahoma"/>
          <w:b/>
          <w:sz w:val="20"/>
          <w:szCs w:val="20"/>
          <w:lang w:val="el-GR"/>
        </w:rPr>
        <w:t>ΑΝΑΛΥΣΗ ΤΩΝ ΣΗΜΑΝΤΙΚΟΤΕΡΩΝ ΟΙΚΟΝΟΜΙΚΩΝ ΜΕΓΕΘΩΝ</w:t>
      </w:r>
    </w:p>
    <w:p w14:paraId="0A8B52D4" w14:textId="45A7139B" w:rsidR="009D3B5A" w:rsidRPr="00D23046" w:rsidRDefault="009D3B5A" w:rsidP="009D3B5A">
      <w:pPr>
        <w:pStyle w:val="a9"/>
        <w:spacing w:after="120" w:line="240" w:lineRule="auto"/>
        <w:ind w:left="0"/>
        <w:contextualSpacing w:val="0"/>
        <w:jc w:val="both"/>
        <w:rPr>
          <w:rFonts w:ascii="Tahoma" w:hAnsi="Tahoma" w:cs="Tahoma"/>
          <w:b/>
          <w:sz w:val="20"/>
          <w:szCs w:val="20"/>
        </w:rPr>
      </w:pPr>
      <w:r w:rsidRPr="00D23046">
        <w:rPr>
          <w:rFonts w:ascii="Tahoma" w:hAnsi="Tahoma" w:cs="Tahoma"/>
          <w:b/>
          <w:sz w:val="20"/>
          <w:szCs w:val="20"/>
        </w:rPr>
        <w:t>Καταθέσεις</w:t>
      </w:r>
    </w:p>
    <w:p w14:paraId="1DF535D5" w14:textId="77777777" w:rsidR="009D3B5A" w:rsidRPr="009D3B5A" w:rsidRDefault="009D3B5A" w:rsidP="009D3B5A">
      <w:pPr>
        <w:spacing w:after="120" w:line="240" w:lineRule="auto"/>
        <w:jc w:val="both"/>
        <w:rPr>
          <w:rFonts w:ascii="Tahoma" w:hAnsi="Tahoma" w:cs="Tahoma"/>
          <w:sz w:val="20"/>
          <w:szCs w:val="20"/>
          <w:lang w:val="el-GR"/>
        </w:rPr>
      </w:pPr>
      <w:r w:rsidRPr="009D3B5A">
        <w:rPr>
          <w:rFonts w:ascii="Tahoma" w:hAnsi="Tahoma" w:cs="Tahoma"/>
          <w:sz w:val="20"/>
          <w:szCs w:val="20"/>
          <w:lang w:val="el-GR"/>
        </w:rPr>
        <w:t xml:space="preserve">Οι καταθέσεις των πελατών της Τράπεζας αυξήθηκαν με σταθερό ρυθμό σε όλη τη διάρκεια του έτους ανερχόμενες στο τέλος της χρήσης στα 208 εκατ. ευρώ. Ποσοτικά η αύξηση ανήλθε στα 9 εκατ. ευρώ και ποσοστιαία στο 5%.  Οι συνολικές καταθέσεις στην Ελλάδα αυξήθηκαν κατά το έτος 2019 από τα 128 δις ευρώ το 2018 σε 136 δις ευρώ το 2019. Κατά τη διάρκεια του έτους η εξάρτηση του ελληνικού τραπεζικού συστήματος από το μηχανισμό παροχής ρευστότητας </w:t>
      </w:r>
      <w:r w:rsidRPr="00D23046">
        <w:rPr>
          <w:rFonts w:ascii="Tahoma" w:hAnsi="Tahoma" w:cs="Tahoma"/>
          <w:sz w:val="20"/>
          <w:szCs w:val="20"/>
        </w:rPr>
        <w:t>ELA</w:t>
      </w:r>
      <w:r w:rsidRPr="009D3B5A">
        <w:rPr>
          <w:rFonts w:ascii="Tahoma" w:hAnsi="Tahoma" w:cs="Tahoma"/>
          <w:sz w:val="20"/>
          <w:szCs w:val="20"/>
          <w:lang w:val="el-GR"/>
        </w:rPr>
        <w:t xml:space="preserve"> μηδενίστηκε. Η πιστωτική γραμμή που είχε λάβει η Τράπεζα από συστημική τράπεζα, ύψους 15 εκατ. ευρώ μειώθηκε στα 4 εκατ. ευρώ και δεν χρησιμοποιήθηκε καθόλου. Η γραμμή παραμένει ενεργή για να αντιμετωπίζονται ανάγκες έκτακτης ρευστότητας. </w:t>
      </w:r>
    </w:p>
    <w:p w14:paraId="631EE34D" w14:textId="77777777" w:rsidR="009D3B5A" w:rsidRPr="009D3B5A" w:rsidRDefault="009D3B5A" w:rsidP="009D3B5A">
      <w:pPr>
        <w:spacing w:after="120" w:line="240" w:lineRule="auto"/>
        <w:jc w:val="both"/>
        <w:rPr>
          <w:rFonts w:ascii="Tahoma" w:hAnsi="Tahoma" w:cs="Tahoma"/>
          <w:sz w:val="20"/>
          <w:szCs w:val="20"/>
          <w:lang w:val="el-GR"/>
        </w:rPr>
      </w:pPr>
    </w:p>
    <w:p w14:paraId="3302E048" w14:textId="77777777" w:rsidR="009D3B5A" w:rsidRPr="009D3B5A" w:rsidRDefault="009D3B5A" w:rsidP="009D3B5A">
      <w:pPr>
        <w:spacing w:after="120" w:line="240" w:lineRule="auto"/>
        <w:jc w:val="both"/>
        <w:rPr>
          <w:rFonts w:ascii="Tahoma" w:hAnsi="Tahoma" w:cs="Tahoma"/>
          <w:sz w:val="20"/>
          <w:szCs w:val="20"/>
          <w:lang w:val="el-GR"/>
        </w:rPr>
      </w:pPr>
      <w:r w:rsidRPr="009D3B5A">
        <w:rPr>
          <w:rFonts w:ascii="Tahoma" w:hAnsi="Tahoma" w:cs="Tahoma"/>
          <w:sz w:val="20"/>
          <w:szCs w:val="20"/>
          <w:lang w:val="el-GR"/>
        </w:rPr>
        <w:t>ΣΥΝΟΛΙΚΕΣ ΚΑΤΑΘΕΣΕΙΣ (συμπεριλαμβάνονται καταθέσεις πιστωτικών ιδρυμάτων)</w:t>
      </w:r>
    </w:p>
    <w:tbl>
      <w:tblPr>
        <w:tblW w:w="9560" w:type="dxa"/>
        <w:tblInd w:w="-637" w:type="dxa"/>
        <w:tblLook w:val="04A0" w:firstRow="1" w:lastRow="0" w:firstColumn="1" w:lastColumn="0" w:noHBand="0" w:noVBand="1"/>
      </w:tblPr>
      <w:tblGrid>
        <w:gridCol w:w="2680"/>
        <w:gridCol w:w="1200"/>
        <w:gridCol w:w="1420"/>
        <w:gridCol w:w="1420"/>
        <w:gridCol w:w="1420"/>
        <w:gridCol w:w="1420"/>
      </w:tblGrid>
      <w:tr w:rsidR="009D3B5A" w:rsidRPr="00D23046" w14:paraId="0A2A9FDC" w14:textId="77777777" w:rsidTr="009D3B5A">
        <w:trPr>
          <w:trHeight w:val="435"/>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305CC" w14:textId="77777777" w:rsidR="009D3B5A" w:rsidRPr="009D3B5A" w:rsidRDefault="009D3B5A" w:rsidP="009D3B5A">
            <w:pPr>
              <w:spacing w:after="0" w:line="240" w:lineRule="auto"/>
              <w:rPr>
                <w:rFonts w:ascii="Tahoma" w:eastAsia="Times New Roman" w:hAnsi="Tahoma" w:cs="Tahoma"/>
                <w:sz w:val="20"/>
                <w:szCs w:val="20"/>
                <w:lang w:val="el-GR" w:eastAsia="el-GR"/>
              </w:rPr>
            </w:pPr>
            <w:r w:rsidRPr="00D23046">
              <w:rPr>
                <w:rFonts w:ascii="Tahoma" w:eastAsia="Times New Roman" w:hAnsi="Tahoma" w:cs="Tahoma"/>
                <w:sz w:val="20"/>
                <w:szCs w:val="20"/>
                <w:lang w:eastAsia="el-GR"/>
              </w:rPr>
              <w:t> </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41E21C34" w14:textId="77777777" w:rsidR="009D3B5A" w:rsidRPr="00D23046" w:rsidRDefault="009D3B5A" w:rsidP="009D3B5A">
            <w:pPr>
              <w:spacing w:after="0" w:line="240" w:lineRule="auto"/>
              <w:jc w:val="center"/>
              <w:rPr>
                <w:rFonts w:ascii="Tahoma" w:eastAsia="Times New Roman" w:hAnsi="Tahoma" w:cs="Tahoma"/>
                <w:sz w:val="20"/>
                <w:szCs w:val="20"/>
                <w:lang w:eastAsia="el-GR"/>
              </w:rPr>
            </w:pPr>
            <w:r w:rsidRPr="00D23046">
              <w:rPr>
                <w:rFonts w:ascii="Tahoma" w:eastAsia="Times New Roman" w:hAnsi="Tahoma" w:cs="Tahoma"/>
                <w:sz w:val="20"/>
                <w:szCs w:val="20"/>
                <w:lang w:eastAsia="el-GR"/>
              </w:rPr>
              <w:t>2015</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1A60E078" w14:textId="77777777" w:rsidR="009D3B5A" w:rsidRPr="00D23046" w:rsidRDefault="009D3B5A" w:rsidP="009D3B5A">
            <w:pPr>
              <w:spacing w:after="0" w:line="240" w:lineRule="auto"/>
              <w:jc w:val="center"/>
              <w:rPr>
                <w:rFonts w:ascii="Tahoma" w:eastAsia="Times New Roman" w:hAnsi="Tahoma" w:cs="Tahoma"/>
                <w:sz w:val="20"/>
                <w:szCs w:val="20"/>
                <w:lang w:eastAsia="el-GR"/>
              </w:rPr>
            </w:pPr>
            <w:r w:rsidRPr="00D23046">
              <w:rPr>
                <w:rFonts w:ascii="Tahoma" w:eastAsia="Times New Roman" w:hAnsi="Tahoma" w:cs="Tahoma"/>
                <w:sz w:val="20"/>
                <w:szCs w:val="20"/>
                <w:lang w:eastAsia="el-GR"/>
              </w:rPr>
              <w:t>2016</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11900C73" w14:textId="77777777" w:rsidR="009D3B5A" w:rsidRPr="00D23046" w:rsidRDefault="009D3B5A" w:rsidP="009D3B5A">
            <w:pPr>
              <w:spacing w:after="0" w:line="240" w:lineRule="auto"/>
              <w:jc w:val="center"/>
              <w:rPr>
                <w:rFonts w:ascii="Tahoma" w:eastAsia="Times New Roman" w:hAnsi="Tahoma" w:cs="Tahoma"/>
                <w:sz w:val="20"/>
                <w:szCs w:val="20"/>
                <w:lang w:eastAsia="el-GR"/>
              </w:rPr>
            </w:pPr>
            <w:r w:rsidRPr="00D23046">
              <w:rPr>
                <w:rFonts w:ascii="Tahoma" w:eastAsia="Times New Roman" w:hAnsi="Tahoma" w:cs="Tahoma"/>
                <w:sz w:val="20"/>
                <w:szCs w:val="20"/>
                <w:lang w:eastAsia="el-GR"/>
              </w:rPr>
              <w:t>2017</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5E3A5BBC" w14:textId="77777777" w:rsidR="009D3B5A" w:rsidRPr="00D23046" w:rsidRDefault="009D3B5A" w:rsidP="009D3B5A">
            <w:pPr>
              <w:spacing w:after="0" w:line="240" w:lineRule="auto"/>
              <w:jc w:val="center"/>
              <w:rPr>
                <w:rFonts w:ascii="Tahoma" w:eastAsia="Times New Roman" w:hAnsi="Tahoma" w:cs="Tahoma"/>
                <w:sz w:val="20"/>
                <w:szCs w:val="20"/>
                <w:lang w:eastAsia="el-GR"/>
              </w:rPr>
            </w:pPr>
            <w:r w:rsidRPr="00D23046">
              <w:rPr>
                <w:rFonts w:ascii="Tahoma" w:eastAsia="Times New Roman" w:hAnsi="Tahoma" w:cs="Tahoma"/>
                <w:sz w:val="20"/>
                <w:szCs w:val="20"/>
                <w:lang w:eastAsia="el-GR"/>
              </w:rPr>
              <w:t>2018</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7FDE31D4" w14:textId="77777777" w:rsidR="009D3B5A" w:rsidRPr="00D23046" w:rsidRDefault="009D3B5A" w:rsidP="009D3B5A">
            <w:pPr>
              <w:spacing w:after="0" w:line="240" w:lineRule="auto"/>
              <w:jc w:val="center"/>
              <w:rPr>
                <w:rFonts w:ascii="Tahoma" w:eastAsia="Times New Roman" w:hAnsi="Tahoma" w:cs="Tahoma"/>
                <w:sz w:val="20"/>
                <w:szCs w:val="20"/>
                <w:lang w:eastAsia="el-GR"/>
              </w:rPr>
            </w:pPr>
            <w:r w:rsidRPr="00D23046">
              <w:rPr>
                <w:rFonts w:ascii="Tahoma" w:eastAsia="Times New Roman" w:hAnsi="Tahoma" w:cs="Tahoma"/>
                <w:sz w:val="20"/>
                <w:szCs w:val="20"/>
                <w:lang w:eastAsia="el-GR"/>
              </w:rPr>
              <w:t>2019</w:t>
            </w:r>
          </w:p>
        </w:tc>
      </w:tr>
      <w:tr w:rsidR="009D3B5A" w:rsidRPr="00D23046" w14:paraId="3EC72429" w14:textId="77777777" w:rsidTr="009D3B5A">
        <w:trPr>
          <w:trHeight w:val="435"/>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3688E" w14:textId="77777777" w:rsidR="009D3B5A" w:rsidRPr="00D23046" w:rsidRDefault="009D3B5A" w:rsidP="009D3B5A">
            <w:pPr>
              <w:spacing w:after="0" w:line="240" w:lineRule="auto"/>
              <w:rPr>
                <w:rFonts w:ascii="Tahoma" w:eastAsia="Times New Roman" w:hAnsi="Tahoma" w:cs="Tahoma"/>
                <w:sz w:val="20"/>
                <w:szCs w:val="20"/>
                <w:lang w:eastAsia="el-GR"/>
              </w:rPr>
            </w:pPr>
            <w:r w:rsidRPr="00D23046">
              <w:rPr>
                <w:rFonts w:ascii="Tahoma" w:eastAsia="Times New Roman" w:hAnsi="Tahoma" w:cs="Tahoma"/>
                <w:sz w:val="20"/>
                <w:szCs w:val="20"/>
                <w:lang w:eastAsia="el-GR"/>
              </w:rPr>
              <w:t xml:space="preserve">Καταθέσεις </w:t>
            </w:r>
            <w:proofErr w:type="spellStart"/>
            <w:r w:rsidRPr="00D23046">
              <w:rPr>
                <w:rFonts w:ascii="Tahoma" w:eastAsia="Times New Roman" w:hAnsi="Tahoma" w:cs="Tahoma"/>
                <w:sz w:val="20"/>
                <w:szCs w:val="20"/>
                <w:lang w:eastAsia="el-GR"/>
              </w:rPr>
              <w:t>όψεως</w:t>
            </w:r>
            <w:proofErr w:type="spellEnd"/>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550EDAD0" w14:textId="77777777" w:rsidR="009D3B5A" w:rsidRPr="00D23046" w:rsidRDefault="009D3B5A" w:rsidP="009D3B5A">
            <w:pPr>
              <w:spacing w:after="0" w:line="240" w:lineRule="auto"/>
              <w:jc w:val="center"/>
              <w:rPr>
                <w:rFonts w:ascii="Tahoma" w:eastAsia="Times New Roman" w:hAnsi="Tahoma" w:cs="Tahoma"/>
                <w:sz w:val="20"/>
                <w:szCs w:val="20"/>
                <w:lang w:eastAsia="el-GR"/>
              </w:rPr>
            </w:pPr>
            <w:r w:rsidRPr="00D23046">
              <w:rPr>
                <w:rFonts w:ascii="Tahoma" w:eastAsia="Times New Roman" w:hAnsi="Tahoma" w:cs="Tahoma"/>
                <w:sz w:val="20"/>
                <w:szCs w:val="20"/>
                <w:lang w:eastAsia="el-GR"/>
              </w:rPr>
              <w:t>24.900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35ED457D" w14:textId="77777777" w:rsidR="009D3B5A" w:rsidRPr="00D23046" w:rsidRDefault="009D3B5A" w:rsidP="009D3B5A">
            <w:pPr>
              <w:spacing w:after="0" w:line="240" w:lineRule="auto"/>
              <w:jc w:val="center"/>
              <w:rPr>
                <w:rFonts w:ascii="Tahoma" w:eastAsia="Times New Roman" w:hAnsi="Tahoma" w:cs="Tahoma"/>
                <w:sz w:val="20"/>
                <w:szCs w:val="20"/>
                <w:lang w:eastAsia="el-GR"/>
              </w:rPr>
            </w:pPr>
            <w:r w:rsidRPr="00D23046">
              <w:rPr>
                <w:rFonts w:ascii="Tahoma" w:eastAsia="Times New Roman" w:hAnsi="Tahoma" w:cs="Tahoma"/>
                <w:sz w:val="20"/>
                <w:szCs w:val="20"/>
                <w:lang w:eastAsia="el-GR"/>
              </w:rPr>
              <w:t>25.360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6A8FA3C6" w14:textId="77777777" w:rsidR="009D3B5A" w:rsidRPr="00D23046" w:rsidRDefault="009D3B5A" w:rsidP="009D3B5A">
            <w:pPr>
              <w:spacing w:after="0" w:line="240" w:lineRule="auto"/>
              <w:jc w:val="center"/>
              <w:rPr>
                <w:rFonts w:ascii="Tahoma" w:eastAsia="Times New Roman" w:hAnsi="Tahoma" w:cs="Tahoma"/>
                <w:sz w:val="20"/>
                <w:szCs w:val="20"/>
                <w:lang w:eastAsia="el-GR"/>
              </w:rPr>
            </w:pPr>
            <w:r w:rsidRPr="00D23046">
              <w:rPr>
                <w:rFonts w:ascii="Tahoma" w:eastAsia="Times New Roman" w:hAnsi="Tahoma" w:cs="Tahoma"/>
                <w:sz w:val="20"/>
                <w:szCs w:val="20"/>
                <w:lang w:eastAsia="el-GR"/>
              </w:rPr>
              <w:t>28.646</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238ADB31" w14:textId="77777777" w:rsidR="009D3B5A" w:rsidRPr="00D23046" w:rsidRDefault="009D3B5A" w:rsidP="009D3B5A">
            <w:pPr>
              <w:spacing w:after="0" w:line="240" w:lineRule="auto"/>
              <w:jc w:val="center"/>
              <w:rPr>
                <w:rFonts w:ascii="Tahoma" w:eastAsia="Times New Roman" w:hAnsi="Tahoma" w:cs="Tahoma"/>
                <w:sz w:val="20"/>
                <w:szCs w:val="20"/>
                <w:lang w:eastAsia="el-GR"/>
              </w:rPr>
            </w:pPr>
            <w:r w:rsidRPr="00D23046">
              <w:rPr>
                <w:rFonts w:ascii="Tahoma" w:eastAsia="Times New Roman" w:hAnsi="Tahoma" w:cs="Tahoma"/>
                <w:sz w:val="20"/>
                <w:szCs w:val="20"/>
                <w:lang w:eastAsia="el-GR"/>
              </w:rPr>
              <w:t>33.787</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2107AEBC" w14:textId="77777777" w:rsidR="009D3B5A" w:rsidRPr="00D23046" w:rsidRDefault="009D3B5A" w:rsidP="009D3B5A">
            <w:pPr>
              <w:spacing w:after="0" w:line="240" w:lineRule="auto"/>
              <w:jc w:val="center"/>
              <w:rPr>
                <w:rFonts w:ascii="Tahoma" w:eastAsia="Times New Roman" w:hAnsi="Tahoma" w:cs="Tahoma"/>
                <w:sz w:val="20"/>
                <w:szCs w:val="20"/>
                <w:lang w:eastAsia="el-GR"/>
              </w:rPr>
            </w:pPr>
            <w:r w:rsidRPr="00D23046">
              <w:rPr>
                <w:rFonts w:ascii="Tahoma" w:eastAsia="Times New Roman" w:hAnsi="Tahoma" w:cs="Tahoma"/>
                <w:sz w:val="20"/>
                <w:szCs w:val="20"/>
                <w:lang w:eastAsia="el-GR"/>
              </w:rPr>
              <w:t>39.912</w:t>
            </w:r>
          </w:p>
        </w:tc>
      </w:tr>
      <w:tr w:rsidR="009D3B5A" w:rsidRPr="00D23046" w14:paraId="5EABE987" w14:textId="77777777" w:rsidTr="009D3B5A">
        <w:trPr>
          <w:trHeight w:val="435"/>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305C5" w14:textId="77777777" w:rsidR="009D3B5A" w:rsidRPr="00D23046" w:rsidRDefault="009D3B5A" w:rsidP="009D3B5A">
            <w:pPr>
              <w:spacing w:after="0" w:line="240" w:lineRule="auto"/>
              <w:rPr>
                <w:rFonts w:ascii="Tahoma" w:eastAsia="Times New Roman" w:hAnsi="Tahoma" w:cs="Tahoma"/>
                <w:sz w:val="20"/>
                <w:szCs w:val="20"/>
                <w:lang w:eastAsia="el-GR"/>
              </w:rPr>
            </w:pPr>
            <w:r w:rsidRPr="00D23046">
              <w:rPr>
                <w:rFonts w:ascii="Tahoma" w:eastAsia="Times New Roman" w:hAnsi="Tahoma" w:cs="Tahoma"/>
                <w:sz w:val="20"/>
                <w:szCs w:val="20"/>
                <w:lang w:eastAsia="el-GR"/>
              </w:rPr>
              <w:t>Καταθέσεις τα</w:t>
            </w:r>
            <w:proofErr w:type="spellStart"/>
            <w:r w:rsidRPr="00D23046">
              <w:rPr>
                <w:rFonts w:ascii="Tahoma" w:eastAsia="Times New Roman" w:hAnsi="Tahoma" w:cs="Tahoma"/>
                <w:sz w:val="20"/>
                <w:szCs w:val="20"/>
                <w:lang w:eastAsia="el-GR"/>
              </w:rPr>
              <w:t>μιευτηρίου</w:t>
            </w:r>
            <w:proofErr w:type="spellEnd"/>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6CC13E57" w14:textId="77777777" w:rsidR="009D3B5A" w:rsidRPr="00D23046" w:rsidRDefault="009D3B5A" w:rsidP="009D3B5A">
            <w:pPr>
              <w:spacing w:after="0" w:line="240" w:lineRule="auto"/>
              <w:jc w:val="center"/>
              <w:rPr>
                <w:rFonts w:ascii="Tahoma" w:eastAsia="Times New Roman" w:hAnsi="Tahoma" w:cs="Tahoma"/>
                <w:sz w:val="20"/>
                <w:szCs w:val="20"/>
                <w:lang w:eastAsia="el-GR"/>
              </w:rPr>
            </w:pPr>
            <w:r w:rsidRPr="00D23046">
              <w:rPr>
                <w:rFonts w:ascii="Tahoma" w:eastAsia="Times New Roman" w:hAnsi="Tahoma" w:cs="Tahoma"/>
                <w:sz w:val="20"/>
                <w:szCs w:val="20"/>
                <w:lang w:eastAsia="el-GR"/>
              </w:rPr>
              <w:t>31.837</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4C817F79" w14:textId="77777777" w:rsidR="009D3B5A" w:rsidRPr="00D23046" w:rsidRDefault="009D3B5A" w:rsidP="009D3B5A">
            <w:pPr>
              <w:spacing w:after="0" w:line="240" w:lineRule="auto"/>
              <w:jc w:val="center"/>
              <w:rPr>
                <w:rFonts w:ascii="Tahoma" w:eastAsia="Times New Roman" w:hAnsi="Tahoma" w:cs="Tahoma"/>
                <w:sz w:val="20"/>
                <w:szCs w:val="20"/>
                <w:lang w:eastAsia="el-GR"/>
              </w:rPr>
            </w:pPr>
            <w:r w:rsidRPr="00D23046">
              <w:rPr>
                <w:rFonts w:ascii="Tahoma" w:eastAsia="Times New Roman" w:hAnsi="Tahoma" w:cs="Tahoma"/>
                <w:sz w:val="20"/>
                <w:szCs w:val="20"/>
                <w:lang w:eastAsia="el-GR"/>
              </w:rPr>
              <w:t>23.771</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1F042624" w14:textId="77777777" w:rsidR="009D3B5A" w:rsidRPr="00D23046" w:rsidRDefault="009D3B5A" w:rsidP="009D3B5A">
            <w:pPr>
              <w:spacing w:after="0" w:line="240" w:lineRule="auto"/>
              <w:jc w:val="center"/>
              <w:rPr>
                <w:rFonts w:ascii="Tahoma" w:eastAsia="Times New Roman" w:hAnsi="Tahoma" w:cs="Tahoma"/>
                <w:sz w:val="20"/>
                <w:szCs w:val="20"/>
                <w:lang w:eastAsia="el-GR"/>
              </w:rPr>
            </w:pPr>
            <w:r w:rsidRPr="00D23046">
              <w:rPr>
                <w:rFonts w:ascii="Tahoma" w:eastAsia="Times New Roman" w:hAnsi="Tahoma" w:cs="Tahoma"/>
                <w:sz w:val="20"/>
                <w:szCs w:val="20"/>
                <w:lang w:eastAsia="el-GR"/>
              </w:rPr>
              <w:t>21.838</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7D37FD1B" w14:textId="77777777" w:rsidR="009D3B5A" w:rsidRPr="00D23046" w:rsidRDefault="009D3B5A" w:rsidP="009D3B5A">
            <w:pPr>
              <w:spacing w:after="0" w:line="240" w:lineRule="auto"/>
              <w:jc w:val="center"/>
              <w:rPr>
                <w:rFonts w:ascii="Tahoma" w:eastAsia="Times New Roman" w:hAnsi="Tahoma" w:cs="Tahoma"/>
                <w:sz w:val="20"/>
                <w:szCs w:val="20"/>
                <w:lang w:eastAsia="el-GR"/>
              </w:rPr>
            </w:pPr>
            <w:r w:rsidRPr="00D23046">
              <w:rPr>
                <w:rFonts w:ascii="Tahoma" w:eastAsia="Times New Roman" w:hAnsi="Tahoma" w:cs="Tahoma"/>
                <w:sz w:val="20"/>
                <w:szCs w:val="20"/>
                <w:lang w:eastAsia="el-GR"/>
              </w:rPr>
              <w:t>23.085</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67F5E054" w14:textId="77777777" w:rsidR="009D3B5A" w:rsidRPr="00D23046" w:rsidRDefault="009D3B5A" w:rsidP="009D3B5A">
            <w:pPr>
              <w:spacing w:after="0" w:line="240" w:lineRule="auto"/>
              <w:jc w:val="center"/>
              <w:rPr>
                <w:rFonts w:ascii="Tahoma" w:eastAsia="Times New Roman" w:hAnsi="Tahoma" w:cs="Tahoma"/>
                <w:sz w:val="20"/>
                <w:szCs w:val="20"/>
                <w:lang w:eastAsia="el-GR"/>
              </w:rPr>
            </w:pPr>
            <w:r w:rsidRPr="00D23046">
              <w:rPr>
                <w:rFonts w:ascii="Tahoma" w:eastAsia="Times New Roman" w:hAnsi="Tahoma" w:cs="Tahoma"/>
                <w:sz w:val="20"/>
                <w:szCs w:val="20"/>
                <w:lang w:eastAsia="el-GR"/>
              </w:rPr>
              <w:t>26.671</w:t>
            </w:r>
          </w:p>
        </w:tc>
      </w:tr>
      <w:tr w:rsidR="009D3B5A" w:rsidRPr="00D23046" w14:paraId="686D0FD9" w14:textId="77777777" w:rsidTr="009D3B5A">
        <w:trPr>
          <w:trHeight w:val="435"/>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AD948" w14:textId="77777777" w:rsidR="009D3B5A" w:rsidRPr="00D23046" w:rsidRDefault="009D3B5A" w:rsidP="009D3B5A">
            <w:pPr>
              <w:spacing w:after="0" w:line="240" w:lineRule="auto"/>
              <w:rPr>
                <w:rFonts w:ascii="Tahoma" w:eastAsia="Times New Roman" w:hAnsi="Tahoma" w:cs="Tahoma"/>
                <w:sz w:val="20"/>
                <w:szCs w:val="20"/>
                <w:lang w:eastAsia="el-GR"/>
              </w:rPr>
            </w:pPr>
            <w:r w:rsidRPr="00D23046">
              <w:rPr>
                <w:rFonts w:ascii="Tahoma" w:eastAsia="Times New Roman" w:hAnsi="Tahoma" w:cs="Tahoma"/>
                <w:sz w:val="20"/>
                <w:szCs w:val="20"/>
                <w:lang w:eastAsia="el-GR"/>
              </w:rPr>
              <w:t>Καταθέσεις π</w:t>
            </w:r>
            <w:proofErr w:type="spellStart"/>
            <w:r w:rsidRPr="00D23046">
              <w:rPr>
                <w:rFonts w:ascii="Tahoma" w:eastAsia="Times New Roman" w:hAnsi="Tahoma" w:cs="Tahoma"/>
                <w:sz w:val="20"/>
                <w:szCs w:val="20"/>
                <w:lang w:eastAsia="el-GR"/>
              </w:rPr>
              <w:t>ροθεσμί</w:t>
            </w:r>
            <w:proofErr w:type="spellEnd"/>
            <w:r w:rsidRPr="00D23046">
              <w:rPr>
                <w:rFonts w:ascii="Tahoma" w:eastAsia="Times New Roman" w:hAnsi="Tahoma" w:cs="Tahoma"/>
                <w:sz w:val="20"/>
                <w:szCs w:val="20"/>
                <w:lang w:eastAsia="el-GR"/>
              </w:rPr>
              <w:t>ας</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7ADE4E95" w14:textId="77777777" w:rsidR="009D3B5A" w:rsidRPr="00D23046" w:rsidRDefault="009D3B5A" w:rsidP="009D3B5A">
            <w:pPr>
              <w:spacing w:after="0" w:line="240" w:lineRule="auto"/>
              <w:jc w:val="center"/>
              <w:rPr>
                <w:rFonts w:ascii="Tahoma" w:eastAsia="Times New Roman" w:hAnsi="Tahoma" w:cs="Tahoma"/>
                <w:sz w:val="20"/>
                <w:szCs w:val="20"/>
                <w:lang w:eastAsia="el-GR"/>
              </w:rPr>
            </w:pPr>
            <w:r w:rsidRPr="00D23046">
              <w:rPr>
                <w:rFonts w:ascii="Tahoma" w:eastAsia="Times New Roman" w:hAnsi="Tahoma" w:cs="Tahoma"/>
                <w:sz w:val="20"/>
                <w:szCs w:val="20"/>
                <w:lang w:eastAsia="el-GR"/>
              </w:rPr>
              <w:t>99.741</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3D79A982" w14:textId="77777777" w:rsidR="009D3B5A" w:rsidRPr="00D23046" w:rsidRDefault="009D3B5A" w:rsidP="009D3B5A">
            <w:pPr>
              <w:spacing w:after="0" w:line="240" w:lineRule="auto"/>
              <w:jc w:val="center"/>
              <w:rPr>
                <w:rFonts w:ascii="Tahoma" w:eastAsia="Times New Roman" w:hAnsi="Tahoma" w:cs="Tahoma"/>
                <w:sz w:val="20"/>
                <w:szCs w:val="20"/>
                <w:lang w:eastAsia="el-GR"/>
              </w:rPr>
            </w:pPr>
            <w:r w:rsidRPr="00D23046">
              <w:rPr>
                <w:rFonts w:ascii="Tahoma" w:eastAsia="Times New Roman" w:hAnsi="Tahoma" w:cs="Tahoma"/>
                <w:sz w:val="20"/>
                <w:szCs w:val="20"/>
                <w:lang w:eastAsia="el-GR"/>
              </w:rPr>
              <w:t>112.158</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7F68B1F8" w14:textId="77777777" w:rsidR="009D3B5A" w:rsidRPr="00D23046" w:rsidRDefault="009D3B5A" w:rsidP="009D3B5A">
            <w:pPr>
              <w:spacing w:after="0" w:line="240" w:lineRule="auto"/>
              <w:jc w:val="center"/>
              <w:rPr>
                <w:rFonts w:ascii="Tahoma" w:eastAsia="Times New Roman" w:hAnsi="Tahoma" w:cs="Tahoma"/>
                <w:sz w:val="20"/>
                <w:szCs w:val="20"/>
                <w:lang w:eastAsia="el-GR"/>
              </w:rPr>
            </w:pPr>
            <w:r w:rsidRPr="00D23046">
              <w:rPr>
                <w:rFonts w:ascii="Tahoma" w:eastAsia="Times New Roman" w:hAnsi="Tahoma" w:cs="Tahoma"/>
                <w:sz w:val="20"/>
                <w:szCs w:val="20"/>
                <w:lang w:eastAsia="el-GR"/>
              </w:rPr>
              <w:t>125.596</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6E807DD0" w14:textId="77777777" w:rsidR="009D3B5A" w:rsidRPr="00D23046" w:rsidRDefault="009D3B5A" w:rsidP="009D3B5A">
            <w:pPr>
              <w:spacing w:after="0" w:line="240" w:lineRule="auto"/>
              <w:jc w:val="center"/>
              <w:rPr>
                <w:rFonts w:ascii="Tahoma" w:eastAsia="Times New Roman" w:hAnsi="Tahoma" w:cs="Tahoma"/>
                <w:sz w:val="20"/>
                <w:szCs w:val="20"/>
                <w:lang w:eastAsia="el-GR"/>
              </w:rPr>
            </w:pPr>
            <w:r w:rsidRPr="00D23046">
              <w:rPr>
                <w:rFonts w:ascii="Tahoma" w:eastAsia="Times New Roman" w:hAnsi="Tahoma" w:cs="Tahoma"/>
                <w:sz w:val="20"/>
                <w:szCs w:val="20"/>
                <w:lang w:eastAsia="el-GR"/>
              </w:rPr>
              <w:t>141.614</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5267852E" w14:textId="77777777" w:rsidR="009D3B5A" w:rsidRPr="00D23046" w:rsidRDefault="009D3B5A" w:rsidP="009D3B5A">
            <w:pPr>
              <w:spacing w:after="0" w:line="240" w:lineRule="auto"/>
              <w:jc w:val="center"/>
              <w:rPr>
                <w:rFonts w:ascii="Tahoma" w:eastAsia="Times New Roman" w:hAnsi="Tahoma" w:cs="Tahoma"/>
                <w:sz w:val="20"/>
                <w:szCs w:val="20"/>
                <w:lang w:eastAsia="el-GR"/>
              </w:rPr>
            </w:pPr>
            <w:r w:rsidRPr="00D23046">
              <w:rPr>
                <w:rFonts w:ascii="Tahoma" w:eastAsia="Times New Roman" w:hAnsi="Tahoma" w:cs="Tahoma"/>
                <w:sz w:val="20"/>
                <w:szCs w:val="20"/>
                <w:lang w:eastAsia="el-GR"/>
              </w:rPr>
              <w:t>141.043</w:t>
            </w:r>
          </w:p>
        </w:tc>
      </w:tr>
      <w:tr w:rsidR="009D3B5A" w:rsidRPr="00D23046" w14:paraId="1A6DAAAB" w14:textId="77777777" w:rsidTr="009D3B5A">
        <w:trPr>
          <w:trHeight w:val="435"/>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5E561" w14:textId="77777777" w:rsidR="009D3B5A" w:rsidRPr="00D23046" w:rsidRDefault="009D3B5A" w:rsidP="009D3B5A">
            <w:pPr>
              <w:spacing w:after="0" w:line="240" w:lineRule="auto"/>
              <w:rPr>
                <w:rFonts w:ascii="Tahoma" w:eastAsia="Times New Roman" w:hAnsi="Tahoma" w:cs="Tahoma"/>
                <w:sz w:val="20"/>
                <w:szCs w:val="20"/>
                <w:lang w:eastAsia="el-GR"/>
              </w:rPr>
            </w:pPr>
            <w:proofErr w:type="spellStart"/>
            <w:r w:rsidRPr="00D23046">
              <w:rPr>
                <w:rFonts w:ascii="Tahoma" w:eastAsia="Times New Roman" w:hAnsi="Tahoma" w:cs="Tahoma"/>
                <w:sz w:val="20"/>
                <w:szCs w:val="20"/>
                <w:lang w:eastAsia="el-GR"/>
              </w:rPr>
              <w:lastRenderedPageBreak/>
              <w:t>Σύνολο</w:t>
            </w:r>
            <w:proofErr w:type="spellEnd"/>
            <w:r w:rsidRPr="00D23046">
              <w:rPr>
                <w:rFonts w:ascii="Tahoma" w:eastAsia="Times New Roman" w:hAnsi="Tahoma" w:cs="Tahoma"/>
                <w:sz w:val="20"/>
                <w:szCs w:val="20"/>
                <w:lang w:eastAsia="el-GR"/>
              </w:rPr>
              <w:t xml:space="preserve"> Κατα</w:t>
            </w:r>
            <w:proofErr w:type="spellStart"/>
            <w:r w:rsidRPr="00D23046">
              <w:rPr>
                <w:rFonts w:ascii="Tahoma" w:eastAsia="Times New Roman" w:hAnsi="Tahoma" w:cs="Tahoma"/>
                <w:sz w:val="20"/>
                <w:szCs w:val="20"/>
                <w:lang w:eastAsia="el-GR"/>
              </w:rPr>
              <w:t>θέσεων</w:t>
            </w:r>
            <w:proofErr w:type="spellEnd"/>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6C3D8324" w14:textId="77777777" w:rsidR="009D3B5A" w:rsidRPr="00D23046" w:rsidRDefault="009D3B5A" w:rsidP="009D3B5A">
            <w:pPr>
              <w:spacing w:after="0" w:line="240" w:lineRule="auto"/>
              <w:jc w:val="center"/>
              <w:rPr>
                <w:rFonts w:ascii="Tahoma" w:eastAsia="Times New Roman" w:hAnsi="Tahoma" w:cs="Tahoma"/>
                <w:sz w:val="20"/>
                <w:szCs w:val="20"/>
                <w:lang w:eastAsia="el-GR"/>
              </w:rPr>
            </w:pPr>
            <w:r w:rsidRPr="00D23046">
              <w:rPr>
                <w:rFonts w:ascii="Tahoma" w:eastAsia="Times New Roman" w:hAnsi="Tahoma" w:cs="Tahoma"/>
                <w:sz w:val="20"/>
                <w:szCs w:val="20"/>
                <w:lang w:eastAsia="el-GR"/>
              </w:rPr>
              <w:t>156.477</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0EDCF22B" w14:textId="77777777" w:rsidR="009D3B5A" w:rsidRPr="00D23046" w:rsidRDefault="009D3B5A" w:rsidP="009D3B5A">
            <w:pPr>
              <w:spacing w:after="0" w:line="240" w:lineRule="auto"/>
              <w:jc w:val="center"/>
              <w:rPr>
                <w:rFonts w:ascii="Tahoma" w:eastAsia="Times New Roman" w:hAnsi="Tahoma" w:cs="Tahoma"/>
                <w:sz w:val="20"/>
                <w:szCs w:val="20"/>
                <w:lang w:eastAsia="el-GR"/>
              </w:rPr>
            </w:pPr>
            <w:r w:rsidRPr="00D23046">
              <w:rPr>
                <w:rFonts w:ascii="Tahoma" w:eastAsia="Times New Roman" w:hAnsi="Tahoma" w:cs="Tahoma"/>
                <w:sz w:val="20"/>
                <w:szCs w:val="20"/>
                <w:lang w:eastAsia="el-GR"/>
              </w:rPr>
              <w:t>161.288</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4D431949" w14:textId="77777777" w:rsidR="009D3B5A" w:rsidRPr="00D23046" w:rsidRDefault="009D3B5A" w:rsidP="009D3B5A">
            <w:pPr>
              <w:spacing w:after="0" w:line="240" w:lineRule="auto"/>
              <w:jc w:val="center"/>
              <w:rPr>
                <w:rFonts w:ascii="Tahoma" w:eastAsia="Times New Roman" w:hAnsi="Tahoma" w:cs="Tahoma"/>
                <w:sz w:val="20"/>
                <w:szCs w:val="20"/>
                <w:lang w:eastAsia="el-GR"/>
              </w:rPr>
            </w:pPr>
            <w:r w:rsidRPr="00D23046">
              <w:rPr>
                <w:rFonts w:ascii="Tahoma" w:eastAsia="Times New Roman" w:hAnsi="Tahoma" w:cs="Tahoma"/>
                <w:sz w:val="20"/>
                <w:szCs w:val="20"/>
                <w:lang w:eastAsia="el-GR"/>
              </w:rPr>
              <w:t>176.080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222DF22B" w14:textId="77777777" w:rsidR="009D3B5A" w:rsidRPr="00D23046" w:rsidRDefault="009D3B5A" w:rsidP="009D3B5A">
            <w:pPr>
              <w:spacing w:after="0" w:line="240" w:lineRule="auto"/>
              <w:jc w:val="center"/>
              <w:rPr>
                <w:rFonts w:ascii="Tahoma" w:eastAsia="Times New Roman" w:hAnsi="Tahoma" w:cs="Tahoma"/>
                <w:sz w:val="20"/>
                <w:szCs w:val="20"/>
                <w:lang w:eastAsia="el-GR"/>
              </w:rPr>
            </w:pPr>
            <w:r w:rsidRPr="00D23046">
              <w:rPr>
                <w:rFonts w:ascii="Tahoma" w:eastAsia="Times New Roman" w:hAnsi="Tahoma" w:cs="Tahoma"/>
                <w:sz w:val="20"/>
                <w:szCs w:val="20"/>
                <w:lang w:eastAsia="el-GR"/>
              </w:rPr>
              <w:t>198.486</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57B01DA2" w14:textId="77777777" w:rsidR="009D3B5A" w:rsidRPr="00D23046" w:rsidRDefault="009D3B5A" w:rsidP="009D3B5A">
            <w:pPr>
              <w:spacing w:after="0" w:line="240" w:lineRule="auto"/>
              <w:jc w:val="center"/>
              <w:rPr>
                <w:rFonts w:ascii="Tahoma" w:eastAsia="Times New Roman" w:hAnsi="Tahoma" w:cs="Tahoma"/>
                <w:sz w:val="20"/>
                <w:szCs w:val="20"/>
                <w:lang w:eastAsia="el-GR"/>
              </w:rPr>
            </w:pPr>
            <w:r w:rsidRPr="00D23046">
              <w:rPr>
                <w:rFonts w:ascii="Tahoma" w:eastAsia="Times New Roman" w:hAnsi="Tahoma" w:cs="Tahoma"/>
                <w:sz w:val="20"/>
                <w:szCs w:val="20"/>
                <w:lang w:eastAsia="el-GR"/>
              </w:rPr>
              <w:t>207.625</w:t>
            </w:r>
          </w:p>
        </w:tc>
      </w:tr>
    </w:tbl>
    <w:p w14:paraId="2E8C436F" w14:textId="77777777" w:rsidR="009D3B5A" w:rsidRPr="009D3B5A" w:rsidRDefault="009D3B5A" w:rsidP="009D3B5A">
      <w:pPr>
        <w:spacing w:after="120" w:line="240" w:lineRule="auto"/>
        <w:jc w:val="both"/>
        <w:rPr>
          <w:rFonts w:ascii="Tahoma" w:hAnsi="Tahoma" w:cs="Tahoma"/>
          <w:sz w:val="20"/>
          <w:szCs w:val="20"/>
          <w:lang w:val="el-GR"/>
        </w:rPr>
      </w:pPr>
      <w:r w:rsidRPr="009D3B5A">
        <w:rPr>
          <w:rFonts w:ascii="Tahoma" w:hAnsi="Tahoma" w:cs="Tahoma"/>
          <w:sz w:val="20"/>
          <w:szCs w:val="20"/>
          <w:lang w:val="el-GR"/>
        </w:rPr>
        <w:t>Η κατανομή των καταθέσεων παρέμεινε αντίστοιχη κατά το έτος 2019 με αυτές του έτους 2018 . Οι καταθέσεις προθεσμίας ανέρχονται σε ποσοστό 68% του συνόλου από 71% το προηγούμενο έτος, οι καταθέσεις ταμιευτηρίου σε ποσοστό 13% από 12% και οι όψεως σε 19% από 17% αντίστοιχα.</w:t>
      </w:r>
    </w:p>
    <w:p w14:paraId="5603CCF1" w14:textId="77777777" w:rsidR="009D3B5A" w:rsidRPr="009D3B5A" w:rsidRDefault="009D3B5A" w:rsidP="009D3B5A">
      <w:pPr>
        <w:spacing w:after="120" w:line="240" w:lineRule="auto"/>
        <w:jc w:val="both"/>
        <w:rPr>
          <w:rFonts w:ascii="Tahoma" w:hAnsi="Tahoma" w:cs="Tahoma"/>
          <w:sz w:val="20"/>
          <w:szCs w:val="20"/>
          <w:lang w:val="el-GR"/>
        </w:rPr>
      </w:pPr>
      <w:r w:rsidRPr="009D3B5A">
        <w:rPr>
          <w:rFonts w:ascii="Tahoma" w:hAnsi="Tahoma" w:cs="Tahoma"/>
          <w:sz w:val="20"/>
          <w:szCs w:val="20"/>
          <w:lang w:val="el-GR"/>
        </w:rPr>
        <w:t>Πολιτική της Τράπεζας αποτελεί η παροχή ανταγωνιστικών επιτοκίων καταθέσεων, υιοθετώντας όμως ως απαράβατη αρχή τη διαρκή παρακολούθηση του κόστους και τη διατήρηση του σε επίπεδα που μπορεί να απορροφήσει.</w:t>
      </w:r>
    </w:p>
    <w:p w14:paraId="6ADA2EA9" w14:textId="77777777" w:rsidR="009D3B5A" w:rsidRPr="009D3B5A" w:rsidRDefault="009D3B5A" w:rsidP="009D3B5A">
      <w:pPr>
        <w:spacing w:after="120" w:line="240" w:lineRule="auto"/>
        <w:jc w:val="both"/>
        <w:rPr>
          <w:rFonts w:ascii="Tahoma" w:hAnsi="Tahoma" w:cs="Tahoma"/>
          <w:sz w:val="20"/>
          <w:szCs w:val="20"/>
          <w:lang w:val="el-GR"/>
        </w:rPr>
      </w:pPr>
      <w:r w:rsidRPr="009D3B5A">
        <w:rPr>
          <w:rFonts w:ascii="Tahoma" w:hAnsi="Tahoma" w:cs="Tahoma"/>
          <w:sz w:val="20"/>
          <w:szCs w:val="20"/>
          <w:lang w:val="el-GR"/>
        </w:rPr>
        <w:t xml:space="preserve">Η Τράπεζα συνεχίζει να συμμετέχει στο Ταμείο Εγγύησης Καταθέσεων &amp; Επενδύσεων (ΤΕΚΕ), παρέχοντας την κρατική εγγύηση στις καταθέσεις των πελατών της, μέχρι το όριο των εκατό χιλιάδων (100.000 €) ανά καταθέτη. </w:t>
      </w:r>
    </w:p>
    <w:p w14:paraId="63485501" w14:textId="77777777" w:rsidR="004C0581" w:rsidRDefault="004C0581" w:rsidP="009D3B5A">
      <w:pPr>
        <w:spacing w:after="120" w:line="240" w:lineRule="auto"/>
        <w:jc w:val="both"/>
        <w:rPr>
          <w:rFonts w:ascii="Tahoma" w:hAnsi="Tahoma" w:cs="Tahoma"/>
          <w:b/>
          <w:sz w:val="20"/>
          <w:szCs w:val="20"/>
          <w:lang w:val="el-GR"/>
        </w:rPr>
      </w:pPr>
    </w:p>
    <w:p w14:paraId="25A9CCBD" w14:textId="101DD385" w:rsidR="009D3B5A" w:rsidRPr="004C0581" w:rsidRDefault="009D3B5A" w:rsidP="009D3B5A">
      <w:pPr>
        <w:spacing w:after="120" w:line="240" w:lineRule="auto"/>
        <w:jc w:val="both"/>
        <w:rPr>
          <w:rFonts w:ascii="Tahoma" w:hAnsi="Tahoma" w:cs="Tahoma"/>
          <w:b/>
          <w:sz w:val="20"/>
          <w:szCs w:val="20"/>
        </w:rPr>
      </w:pPr>
      <w:r w:rsidRPr="004C0581">
        <w:rPr>
          <w:rFonts w:ascii="Tahoma" w:hAnsi="Tahoma" w:cs="Tahoma"/>
          <w:b/>
          <w:sz w:val="20"/>
          <w:szCs w:val="20"/>
        </w:rPr>
        <w:t>Χορηγήσεις</w:t>
      </w:r>
    </w:p>
    <w:p w14:paraId="7E2044E6" w14:textId="77777777" w:rsidR="009D3B5A" w:rsidRPr="009D3B5A" w:rsidRDefault="009D3B5A" w:rsidP="009D3B5A">
      <w:pPr>
        <w:spacing w:after="120" w:line="240" w:lineRule="auto"/>
        <w:jc w:val="both"/>
        <w:rPr>
          <w:rFonts w:ascii="Tahoma" w:hAnsi="Tahoma" w:cs="Tahoma"/>
          <w:sz w:val="20"/>
          <w:szCs w:val="20"/>
          <w:lang w:val="el-GR"/>
        </w:rPr>
      </w:pPr>
      <w:r w:rsidRPr="009D3B5A">
        <w:rPr>
          <w:rFonts w:ascii="Tahoma" w:hAnsi="Tahoma" w:cs="Tahoma"/>
          <w:sz w:val="20"/>
          <w:szCs w:val="20"/>
          <w:lang w:val="el-GR"/>
        </w:rPr>
        <w:t>Για το 2019 ο ρυθμός χρηματοδότησης στο σύνολο του Ελληνικού τραπεζικού συστήματος επιβραδύνθηκε σε -1,3%</w:t>
      </w:r>
      <w:r w:rsidRPr="009D3B5A">
        <w:rPr>
          <w:rFonts w:ascii="Tahoma" w:hAnsi="Tahoma" w:cs="Tahoma"/>
          <w:sz w:val="20"/>
          <w:szCs w:val="20"/>
          <w:vertAlign w:val="superscript"/>
          <w:lang w:val="el-GR"/>
        </w:rPr>
        <w:t>(</w:t>
      </w:r>
      <w:r w:rsidRPr="00D23046">
        <w:rPr>
          <w:rFonts w:ascii="Tahoma" w:hAnsi="Tahoma" w:cs="Tahoma"/>
          <w:sz w:val="20"/>
          <w:szCs w:val="20"/>
          <w:vertAlign w:val="superscript"/>
        </w:rPr>
        <w:footnoteReference w:id="1"/>
      </w:r>
      <w:r w:rsidRPr="009D3B5A">
        <w:rPr>
          <w:rFonts w:ascii="Tahoma" w:hAnsi="Tahoma" w:cs="Tahoma"/>
          <w:sz w:val="20"/>
          <w:szCs w:val="20"/>
          <w:vertAlign w:val="superscript"/>
          <w:lang w:val="el-GR"/>
        </w:rPr>
        <w:t>)</w:t>
      </w:r>
      <w:r w:rsidRPr="009D3B5A">
        <w:rPr>
          <w:rFonts w:ascii="Tahoma" w:hAnsi="Tahoma" w:cs="Tahoma"/>
          <w:sz w:val="20"/>
          <w:szCs w:val="20"/>
          <w:lang w:val="el-GR"/>
        </w:rPr>
        <w:t xml:space="preserve"> έναντι -1,2% το 2018 προς τον Ιδιωτικό και Δημόσιο τομέα. Όσον αφορά στο Δημόσιο τομέα, για το 2019, υπήρξε μείωση του ρυθμού χρηματοδότησης κατά -5,5% (από -2,0% το 2018) και στον Ιδιωτικό τομέα κατά -0,6% (από -1,1% το 2018). Ειδικότερα για τα επιχειρηματικά δάνεια οι χρηματοδοτήσεις προς μη χρηματοπιστωτικές επιχειρήσεις αυξήθηκαν κατά 1,7%, προς Ελεύθερους επαγγελματίες, ατομικές επιχειρήσεις και αγρότες μειώθηκαν κατά -1,9% και προς Ιδιώτες κατά -2,9%. Στη λιανική τραπεζική για τις χρηματοδοτήσεις προς Ιδιώτες προκύπτει ότι στα Στεγαστικά δάνεια υπήρξε μια μείωση της τάξης του -3,4%, στα Καταναλωτικά δάνεια -1,6% και στα Λοιπά προσωπικά δάνεια -3,0%.</w:t>
      </w:r>
    </w:p>
    <w:p w14:paraId="37002E61" w14:textId="77777777" w:rsidR="009D3B5A" w:rsidRPr="009D3B5A" w:rsidRDefault="009D3B5A" w:rsidP="009D3B5A">
      <w:pPr>
        <w:spacing w:after="120" w:line="240" w:lineRule="auto"/>
        <w:jc w:val="both"/>
        <w:rPr>
          <w:rFonts w:ascii="Tahoma" w:hAnsi="Tahoma" w:cs="Tahoma"/>
          <w:sz w:val="20"/>
          <w:szCs w:val="20"/>
          <w:lang w:val="el-GR"/>
        </w:rPr>
      </w:pPr>
      <w:r w:rsidRPr="009D3B5A">
        <w:rPr>
          <w:rFonts w:ascii="Tahoma" w:hAnsi="Tahoma" w:cs="Tahoma"/>
          <w:sz w:val="20"/>
          <w:szCs w:val="20"/>
          <w:lang w:val="el-GR"/>
        </w:rPr>
        <w:t xml:space="preserve">Η Συνεταιριστική Τράπεζα Θεσσαλίας το 2019 στήριξε την πραγματική τοπική οικονομία της Θεσσαλίας τόσο με την ανανέωση των υφιστάμενων χρηματοπιστωτικών ορίων, όσο και με την επέκταση στο δανειακό της χαρτοφυλάκιο κατά +3,53% σε σχέση με το 2018, φτάνοντας τις συνολικές χορηγήσεις (εκτός εγγυητικών επιστολών) στα 256,96 εκ. € (προ προβλέψεων). </w:t>
      </w:r>
    </w:p>
    <w:p w14:paraId="1D001EC6" w14:textId="77777777" w:rsidR="009D3B5A" w:rsidRPr="009D3B5A" w:rsidRDefault="009D3B5A" w:rsidP="009D3B5A">
      <w:pPr>
        <w:spacing w:after="120" w:line="240" w:lineRule="auto"/>
        <w:jc w:val="both"/>
        <w:rPr>
          <w:rFonts w:ascii="Tahoma" w:hAnsi="Tahoma" w:cs="Tahoma"/>
          <w:sz w:val="20"/>
          <w:szCs w:val="20"/>
          <w:lang w:val="el-GR"/>
        </w:rPr>
      </w:pPr>
      <w:r w:rsidRPr="009D3B5A">
        <w:rPr>
          <w:rFonts w:ascii="Tahoma" w:hAnsi="Tahoma" w:cs="Tahoma"/>
          <w:sz w:val="20"/>
          <w:szCs w:val="20"/>
          <w:lang w:val="el-GR"/>
        </w:rPr>
        <w:t>Στόχο αποτέλεσε η τόνωση της Θεσσαλικής οικονομίας με την παροχή ρευστότητας τόσο σε ιδιώτες, όσο και σε επιχειρήσεις με υγιή κεφαλαιακή διάρθρωση και ευοίωνες προοπτικές, δίνοντας βαρύτητα σε τομείς προτεραιότητας όπως:</w:t>
      </w:r>
    </w:p>
    <w:p w14:paraId="28A95C1C" w14:textId="77777777" w:rsidR="009D3B5A" w:rsidRPr="009D3B5A" w:rsidRDefault="009D3B5A" w:rsidP="009D3B5A">
      <w:pPr>
        <w:numPr>
          <w:ilvl w:val="0"/>
          <w:numId w:val="4"/>
        </w:numPr>
        <w:spacing w:after="120" w:line="240" w:lineRule="auto"/>
        <w:jc w:val="both"/>
        <w:rPr>
          <w:rFonts w:ascii="Tahoma" w:hAnsi="Tahoma" w:cs="Tahoma"/>
          <w:sz w:val="20"/>
          <w:szCs w:val="20"/>
          <w:lang w:val="el-GR"/>
        </w:rPr>
      </w:pPr>
      <w:r w:rsidRPr="009D3B5A">
        <w:rPr>
          <w:rFonts w:ascii="Tahoma" w:hAnsi="Tahoma" w:cs="Tahoma"/>
          <w:sz w:val="20"/>
          <w:szCs w:val="20"/>
          <w:lang w:val="el-GR"/>
        </w:rPr>
        <w:t xml:space="preserve">στον τομέα χρηματοδότησης Μικρομεσαίων επιχειρήσεων και Ελευθέρων επαγγελματιών όλων των κλάδων της οικονομίας, για την ανάπτυξη της επιχειρηματικότητας, την κάλυψη των βραχυπρόθεσμων χρηματοοικονομικών αναγκών και έκτακτων επιβαρύνσεων, καθώς και τη στήριξη νέων βιώσιμων επενδυτικών σχεδίων. </w:t>
      </w:r>
    </w:p>
    <w:p w14:paraId="043F7145" w14:textId="77777777" w:rsidR="009D3B5A" w:rsidRPr="009D3B5A" w:rsidRDefault="009D3B5A" w:rsidP="009D3B5A">
      <w:pPr>
        <w:numPr>
          <w:ilvl w:val="0"/>
          <w:numId w:val="4"/>
        </w:numPr>
        <w:spacing w:after="120" w:line="240" w:lineRule="auto"/>
        <w:jc w:val="both"/>
        <w:rPr>
          <w:rFonts w:ascii="Tahoma" w:hAnsi="Tahoma" w:cs="Tahoma"/>
          <w:sz w:val="20"/>
          <w:szCs w:val="20"/>
          <w:lang w:val="el-GR"/>
        </w:rPr>
      </w:pPr>
      <w:r w:rsidRPr="009D3B5A">
        <w:rPr>
          <w:rFonts w:ascii="Tahoma" w:hAnsi="Tahoma" w:cs="Tahoma"/>
          <w:sz w:val="20"/>
          <w:szCs w:val="20"/>
          <w:lang w:val="el-GR"/>
        </w:rPr>
        <w:t>στην προσφορά σημαντικού αριθμού προϊόντων ρύθμισης των εξυπηρετούμενων και μη εξυπηρετούμενων δανείων όλων των κατηγοριών.</w:t>
      </w:r>
    </w:p>
    <w:p w14:paraId="10E92867" w14:textId="77777777" w:rsidR="009D3B5A" w:rsidRDefault="009D3B5A" w:rsidP="009D3B5A">
      <w:pPr>
        <w:numPr>
          <w:ilvl w:val="0"/>
          <w:numId w:val="4"/>
        </w:numPr>
        <w:spacing w:after="120" w:line="240" w:lineRule="auto"/>
        <w:jc w:val="both"/>
        <w:rPr>
          <w:rFonts w:ascii="Tahoma" w:hAnsi="Tahoma" w:cs="Tahoma"/>
          <w:sz w:val="20"/>
          <w:szCs w:val="20"/>
          <w:lang w:val="el-GR"/>
        </w:rPr>
      </w:pPr>
      <w:r w:rsidRPr="009D3B5A">
        <w:rPr>
          <w:rFonts w:ascii="Tahoma" w:hAnsi="Tahoma" w:cs="Tahoma"/>
          <w:sz w:val="20"/>
          <w:szCs w:val="20"/>
          <w:lang w:val="el-GR"/>
        </w:rPr>
        <w:t xml:space="preserve">στην παροχή οικονομικής βοήθειας προς τους ιδιώτες μέσω των στεγαστικών, καταναλωτικών και προσωπικών δανείων, αλλά και μέσω διαφόρων προγραμμάτων (Εξοικονομώ ΙΙ, </w:t>
      </w:r>
      <w:r w:rsidRPr="00D23046">
        <w:rPr>
          <w:rFonts w:ascii="Tahoma" w:hAnsi="Tahoma" w:cs="Tahoma"/>
          <w:sz w:val="20"/>
          <w:szCs w:val="20"/>
        </w:rPr>
        <w:t>Green</w:t>
      </w:r>
      <w:r w:rsidRPr="009D3B5A">
        <w:rPr>
          <w:rFonts w:ascii="Tahoma" w:hAnsi="Tahoma" w:cs="Tahoma"/>
          <w:sz w:val="20"/>
          <w:szCs w:val="20"/>
          <w:lang w:val="el-GR"/>
        </w:rPr>
        <w:t xml:space="preserve"> </w:t>
      </w:r>
      <w:r w:rsidRPr="00D23046">
        <w:rPr>
          <w:rFonts w:ascii="Tahoma" w:hAnsi="Tahoma" w:cs="Tahoma"/>
          <w:sz w:val="20"/>
          <w:szCs w:val="20"/>
        </w:rPr>
        <w:t>Life</w:t>
      </w:r>
      <w:r w:rsidRPr="009D3B5A">
        <w:rPr>
          <w:rFonts w:ascii="Tahoma" w:hAnsi="Tahoma" w:cs="Tahoma"/>
          <w:sz w:val="20"/>
          <w:szCs w:val="20"/>
          <w:lang w:val="el-GR"/>
        </w:rPr>
        <w:t>, κ.α.).</w:t>
      </w:r>
    </w:p>
    <w:p w14:paraId="68F1F056" w14:textId="77777777" w:rsidR="004C0581" w:rsidRDefault="004C0581" w:rsidP="004C0581">
      <w:pPr>
        <w:spacing w:after="120" w:line="240" w:lineRule="auto"/>
        <w:jc w:val="both"/>
        <w:rPr>
          <w:rFonts w:ascii="Tahoma" w:hAnsi="Tahoma" w:cs="Tahoma"/>
          <w:sz w:val="20"/>
          <w:szCs w:val="20"/>
          <w:lang w:val="el-GR"/>
        </w:rPr>
      </w:pPr>
    </w:p>
    <w:p w14:paraId="249DFF71" w14:textId="77777777" w:rsidR="004C0581" w:rsidRDefault="004C0581" w:rsidP="004C0581">
      <w:pPr>
        <w:spacing w:after="120" w:line="240" w:lineRule="auto"/>
        <w:jc w:val="both"/>
        <w:rPr>
          <w:rFonts w:ascii="Tahoma" w:hAnsi="Tahoma" w:cs="Tahoma"/>
          <w:sz w:val="20"/>
          <w:szCs w:val="20"/>
          <w:lang w:val="el-GR"/>
        </w:rPr>
      </w:pPr>
    </w:p>
    <w:p w14:paraId="5C5D509D" w14:textId="77777777" w:rsidR="004C0581" w:rsidRDefault="004C0581" w:rsidP="004C0581">
      <w:pPr>
        <w:spacing w:after="120" w:line="240" w:lineRule="auto"/>
        <w:jc w:val="both"/>
        <w:rPr>
          <w:rFonts w:ascii="Tahoma" w:hAnsi="Tahoma" w:cs="Tahoma"/>
          <w:sz w:val="20"/>
          <w:szCs w:val="20"/>
          <w:lang w:val="el-GR"/>
        </w:rPr>
      </w:pPr>
    </w:p>
    <w:p w14:paraId="02EA8A94" w14:textId="77777777" w:rsidR="004C0581" w:rsidRPr="009D3B5A" w:rsidRDefault="004C0581" w:rsidP="004C0581">
      <w:pPr>
        <w:spacing w:after="120" w:line="240" w:lineRule="auto"/>
        <w:jc w:val="both"/>
        <w:rPr>
          <w:rFonts w:ascii="Tahoma" w:hAnsi="Tahoma" w:cs="Tahoma"/>
          <w:sz w:val="20"/>
          <w:szCs w:val="20"/>
          <w:lang w:val="el-GR"/>
        </w:rPr>
      </w:pPr>
    </w:p>
    <w:p w14:paraId="5BBFC411" w14:textId="77777777" w:rsidR="009D3B5A" w:rsidRPr="009D3B5A" w:rsidRDefault="009D3B5A" w:rsidP="009D3B5A">
      <w:pPr>
        <w:spacing w:after="120" w:line="240" w:lineRule="auto"/>
        <w:jc w:val="both"/>
        <w:rPr>
          <w:rFonts w:ascii="Tahoma" w:hAnsi="Tahoma" w:cs="Tahoma"/>
          <w:sz w:val="20"/>
          <w:szCs w:val="20"/>
          <w:u w:val="single"/>
          <w:lang w:val="el-GR"/>
        </w:rPr>
      </w:pPr>
      <w:r w:rsidRPr="009D3B5A">
        <w:rPr>
          <w:rFonts w:ascii="Tahoma" w:hAnsi="Tahoma" w:cs="Tahoma"/>
          <w:sz w:val="20"/>
          <w:szCs w:val="20"/>
          <w:u w:val="single"/>
          <w:lang w:val="el-GR"/>
        </w:rPr>
        <w:lastRenderedPageBreak/>
        <w:t>Ανάλυση δανειακού χαρτοφυλακίου ανά κλάδο οικονομικής δραστηριότητας:</w:t>
      </w:r>
    </w:p>
    <w:p w14:paraId="66D1B968" w14:textId="77777777" w:rsidR="009D3B5A" w:rsidRPr="009D3B5A" w:rsidRDefault="009D3B5A" w:rsidP="009D3B5A">
      <w:pPr>
        <w:spacing w:after="120" w:line="240" w:lineRule="auto"/>
        <w:jc w:val="both"/>
        <w:rPr>
          <w:rFonts w:ascii="Tahoma" w:hAnsi="Tahoma" w:cs="Tahoma"/>
          <w:sz w:val="20"/>
          <w:szCs w:val="20"/>
          <w:lang w:val="el-GR"/>
        </w:rPr>
      </w:pPr>
      <w:r w:rsidRPr="009D3B5A">
        <w:rPr>
          <w:rFonts w:ascii="Tahoma" w:hAnsi="Tahoma" w:cs="Tahoma"/>
          <w:sz w:val="20"/>
          <w:szCs w:val="20"/>
          <w:lang w:val="el-GR"/>
        </w:rPr>
        <w:t xml:space="preserve"> </w:t>
      </w:r>
    </w:p>
    <w:tbl>
      <w:tblPr>
        <w:tblW w:w="5377" w:type="dxa"/>
        <w:tblLayout w:type="fixed"/>
        <w:tblLook w:val="04A0" w:firstRow="1" w:lastRow="0" w:firstColumn="1" w:lastColumn="0" w:noHBand="0" w:noVBand="1"/>
      </w:tblPr>
      <w:tblGrid>
        <w:gridCol w:w="4313"/>
        <w:gridCol w:w="1064"/>
      </w:tblGrid>
      <w:tr w:rsidR="009D3B5A" w:rsidRPr="00D23046" w14:paraId="1FCBA2A4" w14:textId="77777777" w:rsidTr="009D3B5A">
        <w:trPr>
          <w:trHeight w:val="372"/>
        </w:trPr>
        <w:tc>
          <w:tcPr>
            <w:tcW w:w="5377" w:type="dxa"/>
            <w:gridSpan w:val="2"/>
            <w:tcBorders>
              <w:top w:val="single" w:sz="8" w:space="0" w:color="auto"/>
              <w:left w:val="single" w:sz="8" w:space="0" w:color="auto"/>
              <w:bottom w:val="single" w:sz="8" w:space="0" w:color="auto"/>
              <w:right w:val="single" w:sz="8" w:space="0" w:color="auto"/>
            </w:tcBorders>
            <w:shd w:val="clear" w:color="000000" w:fill="56769D"/>
            <w:noWrap/>
            <w:vAlign w:val="bottom"/>
          </w:tcPr>
          <w:p w14:paraId="16C2C6F1" w14:textId="77777777" w:rsidR="009D3B5A" w:rsidRPr="00D23046" w:rsidRDefault="009D3B5A" w:rsidP="009D3B5A">
            <w:pPr>
              <w:spacing w:after="120" w:line="240" w:lineRule="auto"/>
              <w:jc w:val="both"/>
              <w:rPr>
                <w:rFonts w:ascii="Tahoma" w:hAnsi="Tahoma" w:cs="Tahoma"/>
                <w:b/>
                <w:bCs/>
                <w:i/>
                <w:iCs/>
                <w:sz w:val="20"/>
                <w:szCs w:val="20"/>
              </w:rPr>
            </w:pPr>
            <w:r w:rsidRPr="00D23046">
              <w:rPr>
                <w:rFonts w:ascii="Tahoma" w:hAnsi="Tahoma" w:cs="Tahoma"/>
                <w:b/>
                <w:bCs/>
                <w:i/>
                <w:iCs/>
                <w:sz w:val="20"/>
                <w:szCs w:val="20"/>
              </w:rPr>
              <w:t>ΧΟΡΗΓΗΣΕΙΣ</w:t>
            </w:r>
          </w:p>
          <w:p w14:paraId="4956BE34" w14:textId="77777777" w:rsidR="009D3B5A" w:rsidRPr="00D23046" w:rsidRDefault="009D3B5A" w:rsidP="009D3B5A">
            <w:pPr>
              <w:spacing w:after="120" w:line="240" w:lineRule="auto"/>
              <w:jc w:val="both"/>
              <w:rPr>
                <w:rFonts w:ascii="Tahoma" w:hAnsi="Tahoma" w:cs="Tahoma"/>
                <w:b/>
                <w:bCs/>
                <w:i/>
                <w:iCs/>
                <w:sz w:val="20"/>
                <w:szCs w:val="20"/>
              </w:rPr>
            </w:pPr>
            <w:r w:rsidRPr="00D23046">
              <w:rPr>
                <w:rFonts w:ascii="Tahoma" w:hAnsi="Tahoma" w:cs="Tahoma"/>
                <w:b/>
                <w:bCs/>
                <w:i/>
                <w:iCs/>
                <w:sz w:val="20"/>
                <w:szCs w:val="20"/>
              </w:rPr>
              <w:t>(31/12/2019)</w:t>
            </w:r>
          </w:p>
        </w:tc>
      </w:tr>
      <w:tr w:rsidR="009D3B5A" w:rsidRPr="00D23046" w14:paraId="2A78D35B" w14:textId="77777777" w:rsidTr="009D3B5A">
        <w:trPr>
          <w:trHeight w:val="269"/>
        </w:trPr>
        <w:tc>
          <w:tcPr>
            <w:tcW w:w="4313" w:type="dxa"/>
            <w:tcBorders>
              <w:top w:val="single" w:sz="8" w:space="0" w:color="auto"/>
              <w:left w:val="single" w:sz="8" w:space="0" w:color="auto"/>
              <w:bottom w:val="single" w:sz="8" w:space="0" w:color="auto"/>
              <w:right w:val="nil"/>
            </w:tcBorders>
            <w:shd w:val="clear" w:color="000000" w:fill="95B3D7"/>
            <w:noWrap/>
            <w:vAlign w:val="center"/>
            <w:hideMark/>
          </w:tcPr>
          <w:p w14:paraId="622B2792" w14:textId="77777777" w:rsidR="009D3B5A" w:rsidRPr="00D23046" w:rsidRDefault="009D3B5A" w:rsidP="009D3B5A">
            <w:pPr>
              <w:spacing w:after="120" w:line="240" w:lineRule="auto"/>
              <w:jc w:val="both"/>
              <w:rPr>
                <w:rFonts w:ascii="Tahoma" w:hAnsi="Tahoma" w:cs="Tahoma"/>
                <w:b/>
                <w:bCs/>
                <w:i/>
                <w:iCs/>
                <w:sz w:val="20"/>
                <w:szCs w:val="20"/>
              </w:rPr>
            </w:pPr>
            <w:r w:rsidRPr="00D23046">
              <w:rPr>
                <w:rFonts w:ascii="Tahoma" w:hAnsi="Tahoma" w:cs="Tahoma"/>
                <w:b/>
                <w:bCs/>
                <w:i/>
                <w:iCs/>
                <w:sz w:val="20"/>
                <w:szCs w:val="20"/>
              </w:rPr>
              <w:t>Επ</w:t>
            </w:r>
            <w:proofErr w:type="spellStart"/>
            <w:r w:rsidRPr="00D23046">
              <w:rPr>
                <w:rFonts w:ascii="Tahoma" w:hAnsi="Tahoma" w:cs="Tahoma"/>
                <w:b/>
                <w:bCs/>
                <w:i/>
                <w:iCs/>
                <w:sz w:val="20"/>
                <w:szCs w:val="20"/>
              </w:rPr>
              <w:t>ιχειρημ</w:t>
            </w:r>
            <w:proofErr w:type="spellEnd"/>
            <w:r w:rsidRPr="00D23046">
              <w:rPr>
                <w:rFonts w:ascii="Tahoma" w:hAnsi="Tahoma" w:cs="Tahoma"/>
                <w:b/>
                <w:bCs/>
                <w:i/>
                <w:iCs/>
                <w:sz w:val="20"/>
                <w:szCs w:val="20"/>
              </w:rPr>
              <w:t xml:space="preserve">ατική </w:t>
            </w:r>
            <w:proofErr w:type="spellStart"/>
            <w:r w:rsidRPr="00D23046">
              <w:rPr>
                <w:rFonts w:ascii="Tahoma" w:hAnsi="Tahoma" w:cs="Tahoma"/>
                <w:b/>
                <w:bCs/>
                <w:i/>
                <w:iCs/>
                <w:sz w:val="20"/>
                <w:szCs w:val="20"/>
              </w:rPr>
              <w:t>Πίστη</w:t>
            </w:r>
            <w:proofErr w:type="spellEnd"/>
          </w:p>
        </w:tc>
        <w:tc>
          <w:tcPr>
            <w:tcW w:w="1064" w:type="dxa"/>
            <w:tcBorders>
              <w:top w:val="single" w:sz="8" w:space="0" w:color="auto"/>
              <w:left w:val="single" w:sz="8" w:space="0" w:color="auto"/>
              <w:bottom w:val="single" w:sz="8" w:space="0" w:color="auto"/>
              <w:right w:val="single" w:sz="8" w:space="0" w:color="auto"/>
            </w:tcBorders>
            <w:shd w:val="clear" w:color="000000" w:fill="95B3D7"/>
            <w:vAlign w:val="center"/>
            <w:hideMark/>
          </w:tcPr>
          <w:p w14:paraId="2C99FC82" w14:textId="77777777" w:rsidR="009D3B5A" w:rsidRPr="00D23046" w:rsidRDefault="009D3B5A" w:rsidP="009D3B5A">
            <w:pPr>
              <w:spacing w:after="120" w:line="240" w:lineRule="auto"/>
              <w:jc w:val="both"/>
              <w:rPr>
                <w:rFonts w:ascii="Tahoma" w:hAnsi="Tahoma" w:cs="Tahoma"/>
                <w:b/>
                <w:bCs/>
                <w:i/>
                <w:iCs/>
                <w:sz w:val="20"/>
                <w:szCs w:val="20"/>
              </w:rPr>
            </w:pPr>
            <w:r w:rsidRPr="00D23046">
              <w:rPr>
                <w:rFonts w:ascii="Tahoma" w:hAnsi="Tahoma" w:cs="Tahoma"/>
                <w:b/>
                <w:bCs/>
                <w:i/>
                <w:iCs/>
                <w:sz w:val="20"/>
                <w:szCs w:val="20"/>
              </w:rPr>
              <w:t>244.191</w:t>
            </w:r>
          </w:p>
        </w:tc>
      </w:tr>
      <w:tr w:rsidR="009D3B5A" w:rsidRPr="00D23046" w14:paraId="0BD493FB" w14:textId="77777777" w:rsidTr="009D3B5A">
        <w:trPr>
          <w:trHeight w:val="213"/>
        </w:trPr>
        <w:tc>
          <w:tcPr>
            <w:tcW w:w="4313" w:type="dxa"/>
            <w:tcBorders>
              <w:top w:val="nil"/>
              <w:left w:val="single" w:sz="8" w:space="0" w:color="auto"/>
              <w:bottom w:val="single" w:sz="8" w:space="0" w:color="auto"/>
              <w:right w:val="nil"/>
            </w:tcBorders>
            <w:shd w:val="clear" w:color="auto" w:fill="auto"/>
            <w:noWrap/>
            <w:vAlign w:val="center"/>
            <w:hideMark/>
          </w:tcPr>
          <w:p w14:paraId="78511283" w14:textId="77777777" w:rsidR="009D3B5A" w:rsidRPr="00D23046" w:rsidRDefault="009D3B5A" w:rsidP="009D3B5A">
            <w:pPr>
              <w:spacing w:after="120" w:line="240" w:lineRule="auto"/>
              <w:jc w:val="both"/>
              <w:rPr>
                <w:rFonts w:ascii="Tahoma" w:hAnsi="Tahoma" w:cs="Tahoma"/>
                <w:sz w:val="20"/>
                <w:szCs w:val="20"/>
              </w:rPr>
            </w:pPr>
            <w:proofErr w:type="spellStart"/>
            <w:r w:rsidRPr="00D23046">
              <w:rPr>
                <w:rFonts w:ascii="Tahoma" w:hAnsi="Tahoma" w:cs="Tahoma"/>
                <w:sz w:val="20"/>
                <w:szCs w:val="20"/>
              </w:rPr>
              <w:t>Γεωργί</w:t>
            </w:r>
            <w:proofErr w:type="spellEnd"/>
            <w:r w:rsidRPr="00D23046">
              <w:rPr>
                <w:rFonts w:ascii="Tahoma" w:hAnsi="Tahoma" w:cs="Tahoma"/>
                <w:sz w:val="20"/>
                <w:szCs w:val="20"/>
              </w:rPr>
              <w:t>α, Δα</w:t>
            </w:r>
            <w:proofErr w:type="spellStart"/>
            <w:r w:rsidRPr="00D23046">
              <w:rPr>
                <w:rFonts w:ascii="Tahoma" w:hAnsi="Tahoma" w:cs="Tahoma"/>
                <w:sz w:val="20"/>
                <w:szCs w:val="20"/>
              </w:rPr>
              <w:t>σοκομί</w:t>
            </w:r>
            <w:proofErr w:type="spellEnd"/>
            <w:r w:rsidRPr="00D23046">
              <w:rPr>
                <w:rFonts w:ascii="Tahoma" w:hAnsi="Tahoma" w:cs="Tahoma"/>
                <w:sz w:val="20"/>
                <w:szCs w:val="20"/>
              </w:rPr>
              <w:t xml:space="preserve">α, </w:t>
            </w:r>
            <w:proofErr w:type="spellStart"/>
            <w:r w:rsidRPr="00D23046">
              <w:rPr>
                <w:rFonts w:ascii="Tahoma" w:hAnsi="Tahoma" w:cs="Tahoma"/>
                <w:sz w:val="20"/>
                <w:szCs w:val="20"/>
              </w:rPr>
              <w:t>Αλιεί</w:t>
            </w:r>
            <w:proofErr w:type="spellEnd"/>
            <w:r w:rsidRPr="00D23046">
              <w:rPr>
                <w:rFonts w:ascii="Tahoma" w:hAnsi="Tahoma" w:cs="Tahoma"/>
                <w:sz w:val="20"/>
                <w:szCs w:val="20"/>
              </w:rPr>
              <w:t>α</w:t>
            </w:r>
          </w:p>
        </w:tc>
        <w:tc>
          <w:tcPr>
            <w:tcW w:w="1064" w:type="dxa"/>
            <w:tcBorders>
              <w:top w:val="nil"/>
              <w:left w:val="single" w:sz="8" w:space="0" w:color="auto"/>
              <w:bottom w:val="single" w:sz="8" w:space="0" w:color="auto"/>
              <w:right w:val="single" w:sz="8" w:space="0" w:color="auto"/>
            </w:tcBorders>
            <w:shd w:val="clear" w:color="auto" w:fill="auto"/>
            <w:vAlign w:val="center"/>
            <w:hideMark/>
          </w:tcPr>
          <w:p w14:paraId="59401E3B" w14:textId="77777777" w:rsidR="009D3B5A" w:rsidRPr="00D23046" w:rsidRDefault="009D3B5A" w:rsidP="009D3B5A">
            <w:pPr>
              <w:spacing w:after="120" w:line="240" w:lineRule="auto"/>
              <w:jc w:val="both"/>
              <w:rPr>
                <w:rFonts w:ascii="Tahoma" w:hAnsi="Tahoma" w:cs="Tahoma"/>
                <w:sz w:val="20"/>
                <w:szCs w:val="20"/>
              </w:rPr>
            </w:pPr>
            <w:r w:rsidRPr="00D23046">
              <w:rPr>
                <w:rFonts w:ascii="Tahoma" w:hAnsi="Tahoma" w:cs="Tahoma"/>
                <w:sz w:val="20"/>
                <w:szCs w:val="20"/>
              </w:rPr>
              <w:t>5.197</w:t>
            </w:r>
          </w:p>
        </w:tc>
      </w:tr>
      <w:tr w:rsidR="009D3B5A" w:rsidRPr="00D23046" w14:paraId="0D171720" w14:textId="77777777" w:rsidTr="009D3B5A">
        <w:trPr>
          <w:trHeight w:val="160"/>
        </w:trPr>
        <w:tc>
          <w:tcPr>
            <w:tcW w:w="4313" w:type="dxa"/>
            <w:tcBorders>
              <w:top w:val="nil"/>
              <w:left w:val="single" w:sz="8" w:space="0" w:color="auto"/>
              <w:bottom w:val="single" w:sz="8" w:space="0" w:color="auto"/>
              <w:right w:val="nil"/>
            </w:tcBorders>
            <w:shd w:val="clear" w:color="auto" w:fill="auto"/>
            <w:noWrap/>
            <w:vAlign w:val="center"/>
            <w:hideMark/>
          </w:tcPr>
          <w:p w14:paraId="753DAFCA" w14:textId="77777777" w:rsidR="009D3B5A" w:rsidRPr="00D23046" w:rsidRDefault="009D3B5A" w:rsidP="009D3B5A">
            <w:pPr>
              <w:spacing w:after="120" w:line="240" w:lineRule="auto"/>
              <w:jc w:val="both"/>
              <w:rPr>
                <w:rFonts w:ascii="Tahoma" w:hAnsi="Tahoma" w:cs="Tahoma"/>
                <w:sz w:val="20"/>
                <w:szCs w:val="20"/>
              </w:rPr>
            </w:pPr>
            <w:proofErr w:type="spellStart"/>
            <w:r w:rsidRPr="00D23046">
              <w:rPr>
                <w:rFonts w:ascii="Tahoma" w:hAnsi="Tahoma" w:cs="Tahoma"/>
                <w:sz w:val="20"/>
                <w:szCs w:val="20"/>
              </w:rPr>
              <w:t>Ορυχεί</w:t>
            </w:r>
            <w:proofErr w:type="spellEnd"/>
            <w:r w:rsidRPr="00D23046">
              <w:rPr>
                <w:rFonts w:ascii="Tahoma" w:hAnsi="Tahoma" w:cs="Tahoma"/>
                <w:sz w:val="20"/>
                <w:szCs w:val="20"/>
              </w:rPr>
              <w:t>α και Λα</w:t>
            </w:r>
            <w:proofErr w:type="spellStart"/>
            <w:r w:rsidRPr="00D23046">
              <w:rPr>
                <w:rFonts w:ascii="Tahoma" w:hAnsi="Tahoma" w:cs="Tahoma"/>
                <w:sz w:val="20"/>
                <w:szCs w:val="20"/>
              </w:rPr>
              <w:t>τομεί</w:t>
            </w:r>
            <w:proofErr w:type="spellEnd"/>
            <w:r w:rsidRPr="00D23046">
              <w:rPr>
                <w:rFonts w:ascii="Tahoma" w:hAnsi="Tahoma" w:cs="Tahoma"/>
                <w:sz w:val="20"/>
                <w:szCs w:val="20"/>
              </w:rPr>
              <w:t>α</w:t>
            </w:r>
          </w:p>
        </w:tc>
        <w:tc>
          <w:tcPr>
            <w:tcW w:w="1064" w:type="dxa"/>
            <w:tcBorders>
              <w:top w:val="nil"/>
              <w:left w:val="single" w:sz="8" w:space="0" w:color="auto"/>
              <w:bottom w:val="single" w:sz="8" w:space="0" w:color="auto"/>
              <w:right w:val="single" w:sz="8" w:space="0" w:color="auto"/>
            </w:tcBorders>
            <w:shd w:val="clear" w:color="auto" w:fill="auto"/>
            <w:vAlign w:val="center"/>
            <w:hideMark/>
          </w:tcPr>
          <w:p w14:paraId="5A8DCDA5" w14:textId="77777777" w:rsidR="009D3B5A" w:rsidRPr="00D23046" w:rsidRDefault="009D3B5A" w:rsidP="009D3B5A">
            <w:pPr>
              <w:spacing w:after="120" w:line="240" w:lineRule="auto"/>
              <w:jc w:val="both"/>
              <w:rPr>
                <w:rFonts w:ascii="Tahoma" w:hAnsi="Tahoma" w:cs="Tahoma"/>
                <w:sz w:val="20"/>
                <w:szCs w:val="20"/>
              </w:rPr>
            </w:pPr>
            <w:r w:rsidRPr="00D23046">
              <w:rPr>
                <w:rFonts w:ascii="Tahoma" w:hAnsi="Tahoma" w:cs="Tahoma"/>
                <w:sz w:val="20"/>
                <w:szCs w:val="20"/>
              </w:rPr>
              <w:t>472</w:t>
            </w:r>
          </w:p>
        </w:tc>
      </w:tr>
      <w:tr w:rsidR="009D3B5A" w:rsidRPr="00D23046" w14:paraId="4997F77D" w14:textId="77777777" w:rsidTr="009D3B5A">
        <w:trPr>
          <w:trHeight w:val="109"/>
        </w:trPr>
        <w:tc>
          <w:tcPr>
            <w:tcW w:w="4313" w:type="dxa"/>
            <w:tcBorders>
              <w:top w:val="nil"/>
              <w:left w:val="single" w:sz="8" w:space="0" w:color="auto"/>
              <w:bottom w:val="single" w:sz="8" w:space="0" w:color="auto"/>
              <w:right w:val="nil"/>
            </w:tcBorders>
            <w:shd w:val="clear" w:color="auto" w:fill="auto"/>
            <w:noWrap/>
            <w:vAlign w:val="center"/>
            <w:hideMark/>
          </w:tcPr>
          <w:p w14:paraId="49DED47B" w14:textId="77777777" w:rsidR="009D3B5A" w:rsidRPr="00D23046" w:rsidRDefault="009D3B5A" w:rsidP="009D3B5A">
            <w:pPr>
              <w:spacing w:after="120" w:line="240" w:lineRule="auto"/>
              <w:jc w:val="both"/>
              <w:rPr>
                <w:rFonts w:ascii="Tahoma" w:hAnsi="Tahoma" w:cs="Tahoma"/>
                <w:sz w:val="20"/>
                <w:szCs w:val="20"/>
              </w:rPr>
            </w:pPr>
            <w:proofErr w:type="spellStart"/>
            <w:r w:rsidRPr="00D23046">
              <w:rPr>
                <w:rFonts w:ascii="Tahoma" w:hAnsi="Tahoma" w:cs="Tahoma"/>
                <w:sz w:val="20"/>
                <w:szCs w:val="20"/>
              </w:rPr>
              <w:t>Μετ</w:t>
            </w:r>
            <w:proofErr w:type="spellEnd"/>
            <w:r w:rsidRPr="00D23046">
              <w:rPr>
                <w:rFonts w:ascii="Tahoma" w:hAnsi="Tahoma" w:cs="Tahoma"/>
                <w:sz w:val="20"/>
                <w:szCs w:val="20"/>
              </w:rPr>
              <w:t>αποίηση</w:t>
            </w:r>
          </w:p>
        </w:tc>
        <w:tc>
          <w:tcPr>
            <w:tcW w:w="1064" w:type="dxa"/>
            <w:tcBorders>
              <w:top w:val="nil"/>
              <w:left w:val="single" w:sz="8" w:space="0" w:color="auto"/>
              <w:bottom w:val="single" w:sz="8" w:space="0" w:color="auto"/>
              <w:right w:val="single" w:sz="8" w:space="0" w:color="auto"/>
            </w:tcBorders>
            <w:shd w:val="clear" w:color="auto" w:fill="auto"/>
            <w:vAlign w:val="center"/>
            <w:hideMark/>
          </w:tcPr>
          <w:p w14:paraId="048A52D2" w14:textId="77777777" w:rsidR="009D3B5A" w:rsidRPr="00D23046" w:rsidRDefault="009D3B5A" w:rsidP="009D3B5A">
            <w:pPr>
              <w:spacing w:after="120" w:line="240" w:lineRule="auto"/>
              <w:jc w:val="both"/>
              <w:rPr>
                <w:rFonts w:ascii="Tahoma" w:hAnsi="Tahoma" w:cs="Tahoma"/>
                <w:sz w:val="20"/>
                <w:szCs w:val="20"/>
              </w:rPr>
            </w:pPr>
            <w:r w:rsidRPr="00D23046">
              <w:rPr>
                <w:rFonts w:ascii="Tahoma" w:hAnsi="Tahoma" w:cs="Tahoma"/>
                <w:sz w:val="20"/>
                <w:szCs w:val="20"/>
              </w:rPr>
              <w:t>45.237</w:t>
            </w:r>
          </w:p>
        </w:tc>
      </w:tr>
      <w:tr w:rsidR="009D3B5A" w:rsidRPr="00D23046" w14:paraId="0A8D5D18" w14:textId="77777777" w:rsidTr="009D3B5A">
        <w:trPr>
          <w:trHeight w:val="198"/>
        </w:trPr>
        <w:tc>
          <w:tcPr>
            <w:tcW w:w="4313" w:type="dxa"/>
            <w:tcBorders>
              <w:top w:val="nil"/>
              <w:left w:val="single" w:sz="8" w:space="0" w:color="auto"/>
              <w:bottom w:val="single" w:sz="8" w:space="0" w:color="auto"/>
              <w:right w:val="nil"/>
            </w:tcBorders>
            <w:shd w:val="clear" w:color="auto" w:fill="auto"/>
            <w:noWrap/>
            <w:vAlign w:val="center"/>
            <w:hideMark/>
          </w:tcPr>
          <w:p w14:paraId="65FE4EE6" w14:textId="77777777" w:rsidR="009D3B5A" w:rsidRPr="00D23046" w:rsidRDefault="009D3B5A" w:rsidP="009D3B5A">
            <w:pPr>
              <w:spacing w:after="120" w:line="240" w:lineRule="auto"/>
              <w:jc w:val="both"/>
              <w:rPr>
                <w:rFonts w:ascii="Tahoma" w:hAnsi="Tahoma" w:cs="Tahoma"/>
                <w:sz w:val="20"/>
                <w:szCs w:val="20"/>
              </w:rPr>
            </w:pPr>
            <w:r w:rsidRPr="00D23046">
              <w:rPr>
                <w:rFonts w:ascii="Tahoma" w:hAnsi="Tahoma" w:cs="Tahoma"/>
                <w:sz w:val="20"/>
                <w:szCs w:val="20"/>
              </w:rPr>
              <w:t>Κατα</w:t>
            </w:r>
            <w:proofErr w:type="spellStart"/>
            <w:r w:rsidRPr="00D23046">
              <w:rPr>
                <w:rFonts w:ascii="Tahoma" w:hAnsi="Tahoma" w:cs="Tahoma"/>
                <w:sz w:val="20"/>
                <w:szCs w:val="20"/>
              </w:rPr>
              <w:t>σκευές</w:t>
            </w:r>
            <w:proofErr w:type="spellEnd"/>
          </w:p>
        </w:tc>
        <w:tc>
          <w:tcPr>
            <w:tcW w:w="1064" w:type="dxa"/>
            <w:tcBorders>
              <w:top w:val="nil"/>
              <w:left w:val="single" w:sz="8" w:space="0" w:color="auto"/>
              <w:bottom w:val="single" w:sz="8" w:space="0" w:color="auto"/>
              <w:right w:val="single" w:sz="8" w:space="0" w:color="auto"/>
            </w:tcBorders>
            <w:shd w:val="clear" w:color="auto" w:fill="auto"/>
            <w:vAlign w:val="center"/>
            <w:hideMark/>
          </w:tcPr>
          <w:p w14:paraId="6825BB3F" w14:textId="77777777" w:rsidR="009D3B5A" w:rsidRPr="00D23046" w:rsidRDefault="009D3B5A" w:rsidP="009D3B5A">
            <w:pPr>
              <w:spacing w:after="120" w:line="240" w:lineRule="auto"/>
              <w:jc w:val="both"/>
              <w:rPr>
                <w:rFonts w:ascii="Tahoma" w:hAnsi="Tahoma" w:cs="Tahoma"/>
                <w:sz w:val="20"/>
                <w:szCs w:val="20"/>
              </w:rPr>
            </w:pPr>
            <w:r w:rsidRPr="00D23046">
              <w:rPr>
                <w:rFonts w:ascii="Tahoma" w:hAnsi="Tahoma" w:cs="Tahoma"/>
                <w:sz w:val="20"/>
                <w:szCs w:val="20"/>
              </w:rPr>
              <w:t>44.854</w:t>
            </w:r>
          </w:p>
        </w:tc>
      </w:tr>
      <w:tr w:rsidR="009D3B5A" w:rsidRPr="00D23046" w14:paraId="410A8C04" w14:textId="77777777" w:rsidTr="009D3B5A">
        <w:trPr>
          <w:trHeight w:val="288"/>
        </w:trPr>
        <w:tc>
          <w:tcPr>
            <w:tcW w:w="4313" w:type="dxa"/>
            <w:tcBorders>
              <w:top w:val="nil"/>
              <w:left w:val="single" w:sz="8" w:space="0" w:color="auto"/>
              <w:bottom w:val="single" w:sz="8" w:space="0" w:color="auto"/>
              <w:right w:val="nil"/>
            </w:tcBorders>
            <w:shd w:val="clear" w:color="auto" w:fill="auto"/>
            <w:vAlign w:val="center"/>
            <w:hideMark/>
          </w:tcPr>
          <w:p w14:paraId="6C392933" w14:textId="77777777" w:rsidR="009D3B5A" w:rsidRPr="009D3B5A" w:rsidRDefault="009D3B5A" w:rsidP="009D3B5A">
            <w:pPr>
              <w:spacing w:after="120" w:line="240" w:lineRule="auto"/>
              <w:jc w:val="both"/>
              <w:rPr>
                <w:rFonts w:ascii="Tahoma" w:hAnsi="Tahoma" w:cs="Tahoma"/>
                <w:sz w:val="20"/>
                <w:szCs w:val="20"/>
                <w:lang w:val="el-GR"/>
              </w:rPr>
            </w:pPr>
            <w:r w:rsidRPr="009D3B5A">
              <w:rPr>
                <w:rFonts w:ascii="Tahoma" w:hAnsi="Tahoma" w:cs="Tahoma"/>
                <w:sz w:val="20"/>
                <w:szCs w:val="20"/>
                <w:lang w:val="el-GR"/>
              </w:rPr>
              <w:t>Χονδρικό και Λιανικό Εμπόριο, Επισκευές Οχημάτων</w:t>
            </w:r>
          </w:p>
        </w:tc>
        <w:tc>
          <w:tcPr>
            <w:tcW w:w="1064" w:type="dxa"/>
            <w:tcBorders>
              <w:top w:val="nil"/>
              <w:left w:val="single" w:sz="8" w:space="0" w:color="auto"/>
              <w:bottom w:val="single" w:sz="8" w:space="0" w:color="auto"/>
              <w:right w:val="single" w:sz="8" w:space="0" w:color="auto"/>
            </w:tcBorders>
            <w:shd w:val="clear" w:color="auto" w:fill="auto"/>
            <w:vAlign w:val="center"/>
            <w:hideMark/>
          </w:tcPr>
          <w:p w14:paraId="67EE6E4E" w14:textId="77777777" w:rsidR="009D3B5A" w:rsidRPr="00D23046" w:rsidRDefault="009D3B5A" w:rsidP="009D3B5A">
            <w:pPr>
              <w:spacing w:after="120" w:line="240" w:lineRule="auto"/>
              <w:jc w:val="both"/>
              <w:rPr>
                <w:rFonts w:ascii="Tahoma" w:hAnsi="Tahoma" w:cs="Tahoma"/>
                <w:sz w:val="20"/>
                <w:szCs w:val="20"/>
              </w:rPr>
            </w:pPr>
            <w:r w:rsidRPr="00D23046">
              <w:rPr>
                <w:rFonts w:ascii="Tahoma" w:hAnsi="Tahoma" w:cs="Tahoma"/>
                <w:sz w:val="20"/>
                <w:szCs w:val="20"/>
              </w:rPr>
              <w:t>50.814</w:t>
            </w:r>
          </w:p>
        </w:tc>
      </w:tr>
      <w:tr w:rsidR="009D3B5A" w:rsidRPr="00D23046" w14:paraId="19B56485" w14:textId="77777777" w:rsidTr="009D3B5A">
        <w:trPr>
          <w:trHeight w:val="283"/>
        </w:trPr>
        <w:tc>
          <w:tcPr>
            <w:tcW w:w="4313" w:type="dxa"/>
            <w:tcBorders>
              <w:top w:val="nil"/>
              <w:left w:val="single" w:sz="8" w:space="0" w:color="auto"/>
              <w:bottom w:val="single" w:sz="8" w:space="0" w:color="auto"/>
              <w:right w:val="nil"/>
            </w:tcBorders>
            <w:shd w:val="clear" w:color="auto" w:fill="auto"/>
            <w:vAlign w:val="center"/>
            <w:hideMark/>
          </w:tcPr>
          <w:p w14:paraId="4CAA3B96" w14:textId="77777777" w:rsidR="009D3B5A" w:rsidRPr="009D3B5A" w:rsidRDefault="009D3B5A" w:rsidP="009D3B5A">
            <w:pPr>
              <w:spacing w:after="120" w:line="240" w:lineRule="auto"/>
              <w:jc w:val="both"/>
              <w:rPr>
                <w:rFonts w:ascii="Tahoma" w:hAnsi="Tahoma" w:cs="Tahoma"/>
                <w:sz w:val="20"/>
                <w:szCs w:val="20"/>
                <w:lang w:val="el-GR"/>
              </w:rPr>
            </w:pPr>
            <w:r w:rsidRPr="009D3B5A">
              <w:rPr>
                <w:rFonts w:ascii="Tahoma" w:hAnsi="Tahoma" w:cs="Tahoma"/>
                <w:sz w:val="20"/>
                <w:szCs w:val="20"/>
                <w:lang w:val="el-GR"/>
              </w:rPr>
              <w:t>Υπηρεσίες παροχής καταλύματος και εστίασης</w:t>
            </w:r>
          </w:p>
        </w:tc>
        <w:tc>
          <w:tcPr>
            <w:tcW w:w="1064" w:type="dxa"/>
            <w:tcBorders>
              <w:top w:val="nil"/>
              <w:left w:val="single" w:sz="8" w:space="0" w:color="auto"/>
              <w:bottom w:val="single" w:sz="8" w:space="0" w:color="auto"/>
              <w:right w:val="single" w:sz="8" w:space="0" w:color="auto"/>
            </w:tcBorders>
            <w:shd w:val="clear" w:color="auto" w:fill="auto"/>
            <w:vAlign w:val="center"/>
            <w:hideMark/>
          </w:tcPr>
          <w:p w14:paraId="39BCC3EE" w14:textId="77777777" w:rsidR="009D3B5A" w:rsidRPr="00D23046" w:rsidRDefault="009D3B5A" w:rsidP="009D3B5A">
            <w:pPr>
              <w:spacing w:after="120" w:line="240" w:lineRule="auto"/>
              <w:jc w:val="both"/>
              <w:rPr>
                <w:rFonts w:ascii="Tahoma" w:hAnsi="Tahoma" w:cs="Tahoma"/>
                <w:sz w:val="20"/>
                <w:szCs w:val="20"/>
              </w:rPr>
            </w:pPr>
            <w:r w:rsidRPr="00D23046">
              <w:rPr>
                <w:rFonts w:ascii="Tahoma" w:hAnsi="Tahoma" w:cs="Tahoma"/>
                <w:sz w:val="20"/>
                <w:szCs w:val="20"/>
              </w:rPr>
              <w:t>9.468</w:t>
            </w:r>
          </w:p>
        </w:tc>
      </w:tr>
      <w:tr w:rsidR="009D3B5A" w:rsidRPr="00D23046" w14:paraId="782DB50B" w14:textId="77777777" w:rsidTr="009D3B5A">
        <w:trPr>
          <w:trHeight w:val="185"/>
        </w:trPr>
        <w:tc>
          <w:tcPr>
            <w:tcW w:w="4313" w:type="dxa"/>
            <w:tcBorders>
              <w:top w:val="nil"/>
              <w:left w:val="single" w:sz="8" w:space="0" w:color="auto"/>
              <w:bottom w:val="single" w:sz="8" w:space="0" w:color="auto"/>
              <w:right w:val="nil"/>
            </w:tcBorders>
            <w:shd w:val="clear" w:color="auto" w:fill="auto"/>
            <w:vAlign w:val="center"/>
            <w:hideMark/>
          </w:tcPr>
          <w:p w14:paraId="5EDDFABC" w14:textId="77777777" w:rsidR="009D3B5A" w:rsidRPr="009D3B5A" w:rsidRDefault="009D3B5A" w:rsidP="009D3B5A">
            <w:pPr>
              <w:spacing w:after="120" w:line="240" w:lineRule="auto"/>
              <w:jc w:val="both"/>
              <w:rPr>
                <w:rFonts w:ascii="Tahoma" w:hAnsi="Tahoma" w:cs="Tahoma"/>
                <w:sz w:val="20"/>
                <w:szCs w:val="20"/>
                <w:lang w:val="el-GR"/>
              </w:rPr>
            </w:pPr>
            <w:r w:rsidRPr="009D3B5A">
              <w:rPr>
                <w:rFonts w:ascii="Tahoma" w:hAnsi="Tahoma" w:cs="Tahoma"/>
                <w:sz w:val="20"/>
                <w:szCs w:val="20"/>
                <w:lang w:val="el-GR"/>
              </w:rPr>
              <w:t>Αποθηκεύσεις και μεταφορές πλην πλωτών μεταφορών</w:t>
            </w:r>
          </w:p>
        </w:tc>
        <w:tc>
          <w:tcPr>
            <w:tcW w:w="1064" w:type="dxa"/>
            <w:tcBorders>
              <w:top w:val="nil"/>
              <w:left w:val="single" w:sz="8" w:space="0" w:color="auto"/>
              <w:bottom w:val="single" w:sz="8" w:space="0" w:color="auto"/>
              <w:right w:val="single" w:sz="8" w:space="0" w:color="auto"/>
            </w:tcBorders>
            <w:shd w:val="clear" w:color="auto" w:fill="auto"/>
            <w:vAlign w:val="center"/>
            <w:hideMark/>
          </w:tcPr>
          <w:p w14:paraId="04E8F5E3" w14:textId="77777777" w:rsidR="009D3B5A" w:rsidRPr="00D23046" w:rsidRDefault="009D3B5A" w:rsidP="009D3B5A">
            <w:pPr>
              <w:spacing w:after="120" w:line="240" w:lineRule="auto"/>
              <w:jc w:val="both"/>
              <w:rPr>
                <w:rFonts w:ascii="Tahoma" w:hAnsi="Tahoma" w:cs="Tahoma"/>
                <w:sz w:val="20"/>
                <w:szCs w:val="20"/>
              </w:rPr>
            </w:pPr>
            <w:r w:rsidRPr="00D23046">
              <w:rPr>
                <w:rFonts w:ascii="Tahoma" w:hAnsi="Tahoma" w:cs="Tahoma"/>
                <w:sz w:val="20"/>
                <w:szCs w:val="20"/>
              </w:rPr>
              <w:t>1.204</w:t>
            </w:r>
          </w:p>
        </w:tc>
      </w:tr>
      <w:tr w:rsidR="009D3B5A" w:rsidRPr="00D23046" w14:paraId="76B69580" w14:textId="77777777" w:rsidTr="009D3B5A">
        <w:trPr>
          <w:trHeight w:val="229"/>
        </w:trPr>
        <w:tc>
          <w:tcPr>
            <w:tcW w:w="4313" w:type="dxa"/>
            <w:tcBorders>
              <w:top w:val="nil"/>
              <w:left w:val="single" w:sz="8" w:space="0" w:color="auto"/>
              <w:bottom w:val="single" w:sz="8" w:space="0" w:color="auto"/>
              <w:right w:val="nil"/>
            </w:tcBorders>
            <w:shd w:val="clear" w:color="auto" w:fill="auto"/>
            <w:vAlign w:val="center"/>
            <w:hideMark/>
          </w:tcPr>
          <w:p w14:paraId="0C874DF3" w14:textId="77777777" w:rsidR="009D3B5A" w:rsidRPr="00D23046" w:rsidRDefault="009D3B5A" w:rsidP="009D3B5A">
            <w:pPr>
              <w:spacing w:after="120" w:line="240" w:lineRule="auto"/>
              <w:jc w:val="both"/>
              <w:rPr>
                <w:rFonts w:ascii="Tahoma" w:hAnsi="Tahoma" w:cs="Tahoma"/>
                <w:sz w:val="20"/>
                <w:szCs w:val="20"/>
              </w:rPr>
            </w:pPr>
            <w:r w:rsidRPr="00D23046">
              <w:rPr>
                <w:rFonts w:ascii="Tahoma" w:hAnsi="Tahoma" w:cs="Tahoma"/>
                <w:sz w:val="20"/>
                <w:szCs w:val="20"/>
              </w:rPr>
              <w:t>Διαχείριση α</w:t>
            </w:r>
            <w:proofErr w:type="spellStart"/>
            <w:r w:rsidRPr="00D23046">
              <w:rPr>
                <w:rFonts w:ascii="Tahoma" w:hAnsi="Tahoma" w:cs="Tahoma"/>
                <w:sz w:val="20"/>
                <w:szCs w:val="20"/>
              </w:rPr>
              <w:t>κίνητης</w:t>
            </w:r>
            <w:proofErr w:type="spellEnd"/>
            <w:r w:rsidRPr="00D23046">
              <w:rPr>
                <w:rFonts w:ascii="Tahoma" w:hAnsi="Tahoma" w:cs="Tahoma"/>
                <w:sz w:val="20"/>
                <w:szCs w:val="20"/>
              </w:rPr>
              <w:t xml:space="preserve"> π</w:t>
            </w:r>
            <w:proofErr w:type="spellStart"/>
            <w:r w:rsidRPr="00D23046">
              <w:rPr>
                <w:rFonts w:ascii="Tahoma" w:hAnsi="Tahoma" w:cs="Tahoma"/>
                <w:sz w:val="20"/>
                <w:szCs w:val="20"/>
              </w:rPr>
              <w:t>εριουσί</w:t>
            </w:r>
            <w:proofErr w:type="spellEnd"/>
            <w:r w:rsidRPr="00D23046">
              <w:rPr>
                <w:rFonts w:ascii="Tahoma" w:hAnsi="Tahoma" w:cs="Tahoma"/>
                <w:sz w:val="20"/>
                <w:szCs w:val="20"/>
              </w:rPr>
              <w:t>ας</w:t>
            </w:r>
          </w:p>
        </w:tc>
        <w:tc>
          <w:tcPr>
            <w:tcW w:w="1064" w:type="dxa"/>
            <w:tcBorders>
              <w:top w:val="nil"/>
              <w:left w:val="single" w:sz="8" w:space="0" w:color="auto"/>
              <w:bottom w:val="single" w:sz="8" w:space="0" w:color="auto"/>
              <w:right w:val="single" w:sz="8" w:space="0" w:color="auto"/>
            </w:tcBorders>
            <w:shd w:val="clear" w:color="auto" w:fill="auto"/>
            <w:vAlign w:val="center"/>
            <w:hideMark/>
          </w:tcPr>
          <w:p w14:paraId="3DC62CEF" w14:textId="77777777" w:rsidR="009D3B5A" w:rsidRPr="00D23046" w:rsidRDefault="009D3B5A" w:rsidP="009D3B5A">
            <w:pPr>
              <w:spacing w:after="120" w:line="240" w:lineRule="auto"/>
              <w:jc w:val="both"/>
              <w:rPr>
                <w:rFonts w:ascii="Tahoma" w:hAnsi="Tahoma" w:cs="Tahoma"/>
                <w:sz w:val="20"/>
                <w:szCs w:val="20"/>
              </w:rPr>
            </w:pPr>
            <w:r w:rsidRPr="00D23046">
              <w:rPr>
                <w:rFonts w:ascii="Tahoma" w:hAnsi="Tahoma" w:cs="Tahoma"/>
                <w:sz w:val="20"/>
                <w:szCs w:val="20"/>
              </w:rPr>
              <w:t>700</w:t>
            </w:r>
          </w:p>
        </w:tc>
      </w:tr>
      <w:tr w:rsidR="009D3B5A" w:rsidRPr="00D23046" w14:paraId="3CD06E5C" w14:textId="77777777" w:rsidTr="009D3B5A">
        <w:trPr>
          <w:trHeight w:val="121"/>
        </w:trPr>
        <w:tc>
          <w:tcPr>
            <w:tcW w:w="4313" w:type="dxa"/>
            <w:tcBorders>
              <w:top w:val="nil"/>
              <w:left w:val="single" w:sz="8" w:space="0" w:color="auto"/>
              <w:bottom w:val="single" w:sz="8" w:space="0" w:color="auto"/>
              <w:right w:val="nil"/>
            </w:tcBorders>
            <w:shd w:val="clear" w:color="auto" w:fill="auto"/>
            <w:vAlign w:val="center"/>
            <w:hideMark/>
          </w:tcPr>
          <w:p w14:paraId="5592570B" w14:textId="77777777" w:rsidR="009D3B5A" w:rsidRPr="009D3B5A" w:rsidRDefault="009D3B5A" w:rsidP="009D3B5A">
            <w:pPr>
              <w:spacing w:after="120" w:line="240" w:lineRule="auto"/>
              <w:jc w:val="both"/>
              <w:rPr>
                <w:rFonts w:ascii="Tahoma" w:hAnsi="Tahoma" w:cs="Tahoma"/>
                <w:sz w:val="20"/>
                <w:szCs w:val="20"/>
                <w:lang w:val="el-GR"/>
              </w:rPr>
            </w:pPr>
            <w:r w:rsidRPr="009D3B5A">
              <w:rPr>
                <w:rFonts w:ascii="Tahoma" w:hAnsi="Tahoma" w:cs="Tahoma"/>
                <w:sz w:val="20"/>
                <w:szCs w:val="20"/>
                <w:lang w:val="el-GR"/>
              </w:rPr>
              <w:t xml:space="preserve">Ελεύθεροι επαγγελματίες, αγρότες, ατομικές </w:t>
            </w:r>
            <w:proofErr w:type="spellStart"/>
            <w:r w:rsidRPr="009D3B5A">
              <w:rPr>
                <w:rFonts w:ascii="Tahoma" w:hAnsi="Tahoma" w:cs="Tahoma"/>
                <w:sz w:val="20"/>
                <w:szCs w:val="20"/>
                <w:lang w:val="el-GR"/>
              </w:rPr>
              <w:t>επιχ</w:t>
            </w:r>
            <w:proofErr w:type="spellEnd"/>
            <w:r w:rsidRPr="009D3B5A">
              <w:rPr>
                <w:rFonts w:ascii="Tahoma" w:hAnsi="Tahoma" w:cs="Tahoma"/>
                <w:sz w:val="20"/>
                <w:szCs w:val="20"/>
                <w:lang w:val="el-GR"/>
              </w:rPr>
              <w:t>.</w:t>
            </w:r>
          </w:p>
        </w:tc>
        <w:tc>
          <w:tcPr>
            <w:tcW w:w="1064" w:type="dxa"/>
            <w:tcBorders>
              <w:top w:val="nil"/>
              <w:left w:val="single" w:sz="8" w:space="0" w:color="auto"/>
              <w:bottom w:val="single" w:sz="8" w:space="0" w:color="auto"/>
              <w:right w:val="single" w:sz="8" w:space="0" w:color="auto"/>
            </w:tcBorders>
            <w:shd w:val="clear" w:color="auto" w:fill="auto"/>
            <w:vAlign w:val="center"/>
            <w:hideMark/>
          </w:tcPr>
          <w:p w14:paraId="6A223176" w14:textId="77777777" w:rsidR="009D3B5A" w:rsidRPr="00D23046" w:rsidRDefault="009D3B5A" w:rsidP="009D3B5A">
            <w:pPr>
              <w:spacing w:after="120" w:line="240" w:lineRule="auto"/>
              <w:jc w:val="both"/>
              <w:rPr>
                <w:rFonts w:ascii="Tahoma" w:hAnsi="Tahoma" w:cs="Tahoma"/>
                <w:sz w:val="20"/>
                <w:szCs w:val="20"/>
              </w:rPr>
            </w:pPr>
            <w:r w:rsidRPr="00D23046">
              <w:rPr>
                <w:rFonts w:ascii="Tahoma" w:hAnsi="Tahoma" w:cs="Tahoma"/>
                <w:sz w:val="20"/>
                <w:szCs w:val="20"/>
              </w:rPr>
              <w:t>60.659</w:t>
            </w:r>
          </w:p>
        </w:tc>
      </w:tr>
      <w:tr w:rsidR="009D3B5A" w:rsidRPr="00D23046" w14:paraId="267662D9" w14:textId="77777777" w:rsidTr="009D3B5A">
        <w:trPr>
          <w:trHeight w:val="40"/>
        </w:trPr>
        <w:tc>
          <w:tcPr>
            <w:tcW w:w="4313" w:type="dxa"/>
            <w:tcBorders>
              <w:top w:val="nil"/>
              <w:left w:val="single" w:sz="8" w:space="0" w:color="auto"/>
              <w:bottom w:val="single" w:sz="8" w:space="0" w:color="auto"/>
              <w:right w:val="nil"/>
            </w:tcBorders>
            <w:shd w:val="clear" w:color="auto" w:fill="auto"/>
            <w:vAlign w:val="center"/>
            <w:hideMark/>
          </w:tcPr>
          <w:p w14:paraId="232687E1" w14:textId="77777777" w:rsidR="009D3B5A" w:rsidRPr="00D23046" w:rsidRDefault="009D3B5A" w:rsidP="009D3B5A">
            <w:pPr>
              <w:spacing w:after="120" w:line="240" w:lineRule="auto"/>
              <w:jc w:val="both"/>
              <w:rPr>
                <w:rFonts w:ascii="Tahoma" w:hAnsi="Tahoma" w:cs="Tahoma"/>
                <w:sz w:val="20"/>
                <w:szCs w:val="20"/>
              </w:rPr>
            </w:pPr>
            <w:proofErr w:type="spellStart"/>
            <w:r w:rsidRPr="00D23046">
              <w:rPr>
                <w:rFonts w:ascii="Tahoma" w:hAnsi="Tahoma" w:cs="Tahoma"/>
                <w:sz w:val="20"/>
                <w:szCs w:val="20"/>
              </w:rPr>
              <w:t>Λοι</w:t>
            </w:r>
            <w:proofErr w:type="spellEnd"/>
            <w:r w:rsidRPr="00D23046">
              <w:rPr>
                <w:rFonts w:ascii="Tahoma" w:hAnsi="Tahoma" w:cs="Tahoma"/>
                <w:sz w:val="20"/>
                <w:szCs w:val="20"/>
              </w:rPr>
              <w:t xml:space="preserve">ποί </w:t>
            </w:r>
            <w:proofErr w:type="spellStart"/>
            <w:r w:rsidRPr="00D23046">
              <w:rPr>
                <w:rFonts w:ascii="Tahoma" w:hAnsi="Tahoma" w:cs="Tahoma"/>
                <w:sz w:val="20"/>
                <w:szCs w:val="20"/>
              </w:rPr>
              <w:t>κλάδοι</w:t>
            </w:r>
            <w:proofErr w:type="spellEnd"/>
          </w:p>
        </w:tc>
        <w:tc>
          <w:tcPr>
            <w:tcW w:w="1064" w:type="dxa"/>
            <w:tcBorders>
              <w:top w:val="nil"/>
              <w:left w:val="single" w:sz="8" w:space="0" w:color="auto"/>
              <w:bottom w:val="single" w:sz="8" w:space="0" w:color="auto"/>
              <w:right w:val="single" w:sz="8" w:space="0" w:color="auto"/>
            </w:tcBorders>
            <w:shd w:val="clear" w:color="auto" w:fill="auto"/>
            <w:vAlign w:val="center"/>
            <w:hideMark/>
          </w:tcPr>
          <w:p w14:paraId="18378F05" w14:textId="77777777" w:rsidR="009D3B5A" w:rsidRPr="00D23046" w:rsidRDefault="009D3B5A" w:rsidP="009D3B5A">
            <w:pPr>
              <w:spacing w:after="120" w:line="240" w:lineRule="auto"/>
              <w:jc w:val="both"/>
              <w:rPr>
                <w:rFonts w:ascii="Tahoma" w:hAnsi="Tahoma" w:cs="Tahoma"/>
                <w:sz w:val="20"/>
                <w:szCs w:val="20"/>
              </w:rPr>
            </w:pPr>
            <w:r w:rsidRPr="00D23046">
              <w:rPr>
                <w:rFonts w:ascii="Tahoma" w:hAnsi="Tahoma" w:cs="Tahoma"/>
                <w:sz w:val="20"/>
                <w:szCs w:val="20"/>
              </w:rPr>
              <w:t>25.586</w:t>
            </w:r>
          </w:p>
        </w:tc>
      </w:tr>
      <w:tr w:rsidR="009D3B5A" w:rsidRPr="00D23046" w14:paraId="528269BD" w14:textId="77777777" w:rsidTr="009D3B5A">
        <w:trPr>
          <w:trHeight w:val="315"/>
        </w:trPr>
        <w:tc>
          <w:tcPr>
            <w:tcW w:w="4313" w:type="dxa"/>
            <w:tcBorders>
              <w:top w:val="nil"/>
              <w:left w:val="single" w:sz="8" w:space="0" w:color="auto"/>
              <w:bottom w:val="single" w:sz="8" w:space="0" w:color="auto"/>
              <w:right w:val="nil"/>
            </w:tcBorders>
            <w:shd w:val="clear" w:color="000000" w:fill="95B3D7"/>
            <w:noWrap/>
            <w:vAlign w:val="center"/>
            <w:hideMark/>
          </w:tcPr>
          <w:p w14:paraId="26BAE2DE" w14:textId="77777777" w:rsidR="009D3B5A" w:rsidRPr="00D23046" w:rsidRDefault="009D3B5A" w:rsidP="009D3B5A">
            <w:pPr>
              <w:spacing w:after="120" w:line="240" w:lineRule="auto"/>
              <w:jc w:val="both"/>
              <w:rPr>
                <w:rFonts w:ascii="Tahoma" w:hAnsi="Tahoma" w:cs="Tahoma"/>
                <w:b/>
                <w:bCs/>
                <w:i/>
                <w:iCs/>
                <w:sz w:val="20"/>
                <w:szCs w:val="20"/>
              </w:rPr>
            </w:pPr>
            <w:proofErr w:type="spellStart"/>
            <w:r w:rsidRPr="00D23046">
              <w:rPr>
                <w:rFonts w:ascii="Tahoma" w:hAnsi="Tahoma" w:cs="Tahoma"/>
                <w:b/>
                <w:bCs/>
                <w:i/>
                <w:iCs/>
                <w:sz w:val="20"/>
                <w:szCs w:val="20"/>
              </w:rPr>
              <w:t>Πίστη</w:t>
            </w:r>
            <w:proofErr w:type="spellEnd"/>
            <w:r w:rsidRPr="00D23046">
              <w:rPr>
                <w:rFonts w:ascii="Tahoma" w:hAnsi="Tahoma" w:cs="Tahoma"/>
                <w:b/>
                <w:bCs/>
                <w:i/>
                <w:iCs/>
                <w:sz w:val="20"/>
                <w:szCs w:val="20"/>
              </w:rPr>
              <w:t xml:space="preserve"> </w:t>
            </w:r>
            <w:proofErr w:type="spellStart"/>
            <w:r w:rsidRPr="00D23046">
              <w:rPr>
                <w:rFonts w:ascii="Tahoma" w:hAnsi="Tahoma" w:cs="Tahoma"/>
                <w:b/>
                <w:bCs/>
                <w:i/>
                <w:iCs/>
                <w:sz w:val="20"/>
                <w:szCs w:val="20"/>
              </w:rPr>
              <w:t>Ιδιωτών</w:t>
            </w:r>
            <w:proofErr w:type="spellEnd"/>
          </w:p>
        </w:tc>
        <w:tc>
          <w:tcPr>
            <w:tcW w:w="1064" w:type="dxa"/>
            <w:tcBorders>
              <w:top w:val="nil"/>
              <w:left w:val="single" w:sz="8" w:space="0" w:color="auto"/>
              <w:bottom w:val="single" w:sz="8" w:space="0" w:color="auto"/>
              <w:right w:val="single" w:sz="8" w:space="0" w:color="auto"/>
            </w:tcBorders>
            <w:shd w:val="clear" w:color="000000" w:fill="95B3D7"/>
            <w:vAlign w:val="center"/>
            <w:hideMark/>
          </w:tcPr>
          <w:p w14:paraId="6A9E35CA" w14:textId="77777777" w:rsidR="009D3B5A" w:rsidRPr="00D23046" w:rsidRDefault="009D3B5A" w:rsidP="009D3B5A">
            <w:pPr>
              <w:spacing w:after="120" w:line="240" w:lineRule="auto"/>
              <w:jc w:val="both"/>
              <w:rPr>
                <w:rFonts w:ascii="Tahoma" w:hAnsi="Tahoma" w:cs="Tahoma"/>
                <w:b/>
                <w:bCs/>
                <w:i/>
                <w:iCs/>
                <w:sz w:val="20"/>
                <w:szCs w:val="20"/>
              </w:rPr>
            </w:pPr>
            <w:r w:rsidRPr="00D23046">
              <w:rPr>
                <w:rFonts w:ascii="Tahoma" w:hAnsi="Tahoma" w:cs="Tahoma"/>
                <w:b/>
                <w:bCs/>
                <w:i/>
                <w:iCs/>
                <w:sz w:val="20"/>
                <w:szCs w:val="20"/>
              </w:rPr>
              <w:t>12.386</w:t>
            </w:r>
          </w:p>
        </w:tc>
      </w:tr>
      <w:tr w:rsidR="009D3B5A" w:rsidRPr="00D23046" w14:paraId="6BBC6E76" w14:textId="77777777" w:rsidTr="009D3B5A">
        <w:trPr>
          <w:trHeight w:val="315"/>
        </w:trPr>
        <w:tc>
          <w:tcPr>
            <w:tcW w:w="4313" w:type="dxa"/>
            <w:tcBorders>
              <w:top w:val="nil"/>
              <w:left w:val="single" w:sz="8" w:space="0" w:color="auto"/>
              <w:bottom w:val="single" w:sz="8" w:space="0" w:color="auto"/>
              <w:right w:val="nil"/>
            </w:tcBorders>
            <w:shd w:val="clear" w:color="000000" w:fill="95B3D7"/>
            <w:noWrap/>
            <w:vAlign w:val="center"/>
            <w:hideMark/>
          </w:tcPr>
          <w:p w14:paraId="701F4BF4" w14:textId="77777777" w:rsidR="009D3B5A" w:rsidRPr="00D23046" w:rsidRDefault="009D3B5A" w:rsidP="009D3B5A">
            <w:pPr>
              <w:spacing w:after="120" w:line="240" w:lineRule="auto"/>
              <w:jc w:val="both"/>
              <w:rPr>
                <w:rFonts w:ascii="Tahoma" w:hAnsi="Tahoma" w:cs="Tahoma"/>
                <w:b/>
                <w:bCs/>
                <w:i/>
                <w:iCs/>
                <w:sz w:val="20"/>
                <w:szCs w:val="20"/>
              </w:rPr>
            </w:pPr>
            <w:proofErr w:type="spellStart"/>
            <w:r w:rsidRPr="00D23046">
              <w:rPr>
                <w:rFonts w:ascii="Tahoma" w:hAnsi="Tahoma" w:cs="Tahoma"/>
                <w:b/>
                <w:bCs/>
                <w:i/>
                <w:iCs/>
                <w:sz w:val="20"/>
                <w:szCs w:val="20"/>
              </w:rPr>
              <w:t>Προς</w:t>
            </w:r>
            <w:proofErr w:type="spellEnd"/>
            <w:r w:rsidRPr="00D23046">
              <w:rPr>
                <w:rFonts w:ascii="Tahoma" w:hAnsi="Tahoma" w:cs="Tahoma"/>
                <w:b/>
                <w:bCs/>
                <w:i/>
                <w:iCs/>
                <w:sz w:val="20"/>
                <w:szCs w:val="20"/>
              </w:rPr>
              <w:t xml:space="preserve"> </w:t>
            </w:r>
            <w:proofErr w:type="spellStart"/>
            <w:r w:rsidRPr="00D23046">
              <w:rPr>
                <w:rFonts w:ascii="Tahoma" w:hAnsi="Tahoma" w:cs="Tahoma"/>
                <w:b/>
                <w:bCs/>
                <w:i/>
                <w:iCs/>
                <w:sz w:val="20"/>
                <w:szCs w:val="20"/>
              </w:rPr>
              <w:t>Δημόσιο</w:t>
            </w:r>
            <w:proofErr w:type="spellEnd"/>
          </w:p>
        </w:tc>
        <w:tc>
          <w:tcPr>
            <w:tcW w:w="1064" w:type="dxa"/>
            <w:tcBorders>
              <w:top w:val="nil"/>
              <w:left w:val="single" w:sz="8" w:space="0" w:color="auto"/>
              <w:bottom w:val="single" w:sz="8" w:space="0" w:color="auto"/>
              <w:right w:val="single" w:sz="8" w:space="0" w:color="auto"/>
            </w:tcBorders>
            <w:shd w:val="clear" w:color="000000" w:fill="95B3D7"/>
            <w:vAlign w:val="center"/>
            <w:hideMark/>
          </w:tcPr>
          <w:p w14:paraId="7BB1B6BD" w14:textId="77777777" w:rsidR="009D3B5A" w:rsidRPr="00D23046" w:rsidRDefault="009D3B5A" w:rsidP="009D3B5A">
            <w:pPr>
              <w:spacing w:after="120" w:line="240" w:lineRule="auto"/>
              <w:jc w:val="both"/>
              <w:rPr>
                <w:rFonts w:ascii="Tahoma" w:hAnsi="Tahoma" w:cs="Tahoma"/>
                <w:b/>
                <w:bCs/>
                <w:i/>
                <w:iCs/>
                <w:sz w:val="20"/>
                <w:szCs w:val="20"/>
              </w:rPr>
            </w:pPr>
            <w:r w:rsidRPr="00D23046">
              <w:rPr>
                <w:rFonts w:ascii="Tahoma" w:hAnsi="Tahoma" w:cs="Tahoma"/>
                <w:b/>
                <w:bCs/>
                <w:i/>
                <w:iCs/>
                <w:sz w:val="20"/>
                <w:szCs w:val="20"/>
              </w:rPr>
              <w:t>382</w:t>
            </w:r>
          </w:p>
        </w:tc>
      </w:tr>
      <w:tr w:rsidR="009D3B5A" w:rsidRPr="00D23046" w14:paraId="0FEE5B31" w14:textId="77777777" w:rsidTr="009D3B5A">
        <w:trPr>
          <w:trHeight w:val="315"/>
        </w:trPr>
        <w:tc>
          <w:tcPr>
            <w:tcW w:w="4313" w:type="dxa"/>
            <w:tcBorders>
              <w:top w:val="nil"/>
              <w:left w:val="single" w:sz="8" w:space="0" w:color="auto"/>
              <w:bottom w:val="single" w:sz="8" w:space="0" w:color="auto"/>
              <w:right w:val="single" w:sz="8" w:space="0" w:color="auto"/>
            </w:tcBorders>
            <w:shd w:val="clear" w:color="000000" w:fill="56769D"/>
            <w:noWrap/>
            <w:vAlign w:val="center"/>
            <w:hideMark/>
          </w:tcPr>
          <w:p w14:paraId="36E6A42C" w14:textId="77777777" w:rsidR="009D3B5A" w:rsidRPr="00D23046" w:rsidRDefault="009D3B5A" w:rsidP="009D3B5A">
            <w:pPr>
              <w:spacing w:after="120" w:line="240" w:lineRule="auto"/>
              <w:jc w:val="both"/>
              <w:rPr>
                <w:rFonts w:ascii="Tahoma" w:hAnsi="Tahoma" w:cs="Tahoma"/>
                <w:b/>
                <w:bCs/>
                <w:i/>
                <w:iCs/>
                <w:sz w:val="20"/>
                <w:szCs w:val="20"/>
              </w:rPr>
            </w:pPr>
            <w:proofErr w:type="spellStart"/>
            <w:r w:rsidRPr="00D23046">
              <w:rPr>
                <w:rFonts w:ascii="Tahoma" w:hAnsi="Tahoma" w:cs="Tahoma"/>
                <w:b/>
                <w:bCs/>
                <w:i/>
                <w:iCs/>
                <w:sz w:val="20"/>
                <w:szCs w:val="20"/>
              </w:rPr>
              <w:t>Σύνολο</w:t>
            </w:r>
            <w:proofErr w:type="spellEnd"/>
          </w:p>
        </w:tc>
        <w:tc>
          <w:tcPr>
            <w:tcW w:w="1064" w:type="dxa"/>
            <w:tcBorders>
              <w:top w:val="nil"/>
              <w:left w:val="nil"/>
              <w:bottom w:val="single" w:sz="8" w:space="0" w:color="auto"/>
              <w:right w:val="single" w:sz="8" w:space="0" w:color="auto"/>
            </w:tcBorders>
            <w:shd w:val="clear" w:color="000000" w:fill="56769D"/>
            <w:vAlign w:val="center"/>
            <w:hideMark/>
          </w:tcPr>
          <w:p w14:paraId="4934F6D6" w14:textId="77777777" w:rsidR="009D3B5A" w:rsidRPr="00D23046" w:rsidRDefault="009D3B5A" w:rsidP="009D3B5A">
            <w:pPr>
              <w:spacing w:after="120" w:line="240" w:lineRule="auto"/>
              <w:jc w:val="both"/>
              <w:rPr>
                <w:rFonts w:ascii="Tahoma" w:hAnsi="Tahoma" w:cs="Tahoma"/>
                <w:b/>
                <w:bCs/>
                <w:i/>
                <w:iCs/>
                <w:sz w:val="20"/>
                <w:szCs w:val="20"/>
              </w:rPr>
            </w:pPr>
            <w:r w:rsidRPr="00D23046">
              <w:rPr>
                <w:rFonts w:ascii="Tahoma" w:hAnsi="Tahoma" w:cs="Tahoma"/>
                <w:b/>
                <w:bCs/>
                <w:i/>
                <w:iCs/>
                <w:sz w:val="20"/>
                <w:szCs w:val="20"/>
              </w:rPr>
              <w:t>256.959</w:t>
            </w:r>
          </w:p>
        </w:tc>
      </w:tr>
    </w:tbl>
    <w:p w14:paraId="462D2C69" w14:textId="77777777" w:rsidR="009D3B5A" w:rsidRPr="00D23046" w:rsidRDefault="009D3B5A" w:rsidP="009D3B5A">
      <w:pPr>
        <w:spacing w:after="120" w:line="240" w:lineRule="auto"/>
        <w:jc w:val="both"/>
        <w:rPr>
          <w:rFonts w:ascii="Tahoma" w:hAnsi="Tahoma" w:cs="Tahoma"/>
          <w:i/>
          <w:sz w:val="20"/>
          <w:szCs w:val="20"/>
        </w:rPr>
      </w:pPr>
      <w:r w:rsidRPr="00D23046">
        <w:rPr>
          <w:rFonts w:ascii="Tahoma" w:hAnsi="Tahoma" w:cs="Tahoma"/>
          <w:i/>
          <w:sz w:val="20"/>
          <w:szCs w:val="20"/>
        </w:rPr>
        <w:t xml:space="preserve">Σε </w:t>
      </w:r>
      <w:proofErr w:type="spellStart"/>
      <w:r w:rsidRPr="00D23046">
        <w:rPr>
          <w:rFonts w:ascii="Tahoma" w:hAnsi="Tahoma" w:cs="Tahoma"/>
          <w:i/>
          <w:sz w:val="20"/>
          <w:szCs w:val="20"/>
        </w:rPr>
        <w:t>χιλιάδες</w:t>
      </w:r>
      <w:proofErr w:type="spellEnd"/>
      <w:r w:rsidRPr="00D23046">
        <w:rPr>
          <w:rFonts w:ascii="Tahoma" w:hAnsi="Tahoma" w:cs="Tahoma"/>
          <w:i/>
          <w:sz w:val="20"/>
          <w:szCs w:val="20"/>
        </w:rPr>
        <w:t xml:space="preserve"> €.</w:t>
      </w:r>
    </w:p>
    <w:p w14:paraId="4E0D882B" w14:textId="77777777" w:rsidR="009D3B5A" w:rsidRPr="00D23046" w:rsidRDefault="009D3B5A" w:rsidP="009D3B5A">
      <w:pPr>
        <w:spacing w:after="120" w:line="240" w:lineRule="auto"/>
        <w:jc w:val="both"/>
        <w:rPr>
          <w:rFonts w:ascii="Tahoma" w:hAnsi="Tahoma" w:cs="Tahoma"/>
          <w:i/>
          <w:sz w:val="20"/>
          <w:szCs w:val="20"/>
        </w:rPr>
      </w:pPr>
    </w:p>
    <w:p w14:paraId="782DB328" w14:textId="77777777" w:rsidR="009D3B5A" w:rsidRPr="00D23046" w:rsidRDefault="009D3B5A" w:rsidP="009D3B5A">
      <w:pPr>
        <w:spacing w:after="120" w:line="240" w:lineRule="auto"/>
        <w:jc w:val="both"/>
        <w:rPr>
          <w:rFonts w:ascii="Tahoma" w:hAnsi="Tahoma" w:cs="Tahoma"/>
          <w:i/>
          <w:sz w:val="20"/>
          <w:szCs w:val="20"/>
        </w:rPr>
      </w:pPr>
    </w:p>
    <w:p w14:paraId="0C3F080F" w14:textId="77777777" w:rsidR="009D3B5A" w:rsidRPr="00D23046" w:rsidRDefault="009D3B5A" w:rsidP="009D3B5A">
      <w:pPr>
        <w:spacing w:after="120" w:line="240" w:lineRule="auto"/>
        <w:jc w:val="both"/>
        <w:rPr>
          <w:rFonts w:ascii="Tahoma" w:hAnsi="Tahoma" w:cs="Tahoma"/>
          <w:i/>
          <w:sz w:val="20"/>
          <w:szCs w:val="20"/>
        </w:rPr>
      </w:pPr>
      <w:r w:rsidRPr="00D23046">
        <w:rPr>
          <w:rFonts w:ascii="Tahoma" w:hAnsi="Tahoma" w:cs="Tahoma"/>
          <w:i/>
          <w:noProof/>
          <w:sz w:val="20"/>
          <w:szCs w:val="20"/>
          <w:lang w:val="el-GR" w:eastAsia="el-GR"/>
        </w:rPr>
        <w:lastRenderedPageBreak/>
        <w:drawing>
          <wp:inline distT="0" distB="0" distL="0" distR="0" wp14:anchorId="0E16197F" wp14:editId="7AC17E78">
            <wp:extent cx="4959350" cy="3762375"/>
            <wp:effectExtent l="0" t="0" r="12700" b="9525"/>
            <wp:docPr id="9" name="Γράφημα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924EB1B" w14:textId="77777777" w:rsidR="009D3B5A" w:rsidRPr="00D23046" w:rsidRDefault="009D3B5A" w:rsidP="009D3B5A">
      <w:pPr>
        <w:spacing w:after="120" w:line="240" w:lineRule="auto"/>
        <w:jc w:val="both"/>
        <w:rPr>
          <w:rFonts w:ascii="Tahoma" w:hAnsi="Tahoma" w:cs="Tahoma"/>
          <w:i/>
          <w:sz w:val="20"/>
          <w:szCs w:val="20"/>
        </w:rPr>
      </w:pPr>
    </w:p>
    <w:p w14:paraId="485C6BD6" w14:textId="77777777" w:rsidR="009D3B5A" w:rsidRPr="00D23046" w:rsidRDefault="009D3B5A" w:rsidP="009D3B5A">
      <w:pPr>
        <w:spacing w:after="120" w:line="240" w:lineRule="auto"/>
        <w:jc w:val="both"/>
        <w:rPr>
          <w:rFonts w:ascii="Tahoma" w:hAnsi="Tahoma" w:cs="Tahoma"/>
          <w:i/>
          <w:sz w:val="20"/>
          <w:szCs w:val="20"/>
        </w:rPr>
      </w:pPr>
    </w:p>
    <w:p w14:paraId="1CA1C257" w14:textId="77777777" w:rsidR="009D3B5A" w:rsidRPr="00D23046" w:rsidRDefault="009D3B5A" w:rsidP="009D3B5A">
      <w:pPr>
        <w:spacing w:after="120" w:line="240" w:lineRule="auto"/>
        <w:jc w:val="both"/>
        <w:rPr>
          <w:rFonts w:ascii="Tahoma" w:hAnsi="Tahoma" w:cs="Tahoma"/>
          <w:i/>
          <w:sz w:val="20"/>
          <w:szCs w:val="20"/>
        </w:rPr>
      </w:pPr>
    </w:p>
    <w:p w14:paraId="04A95608" w14:textId="77777777" w:rsidR="009D3B5A" w:rsidRPr="00D23046" w:rsidRDefault="009D3B5A" w:rsidP="009D3B5A">
      <w:pPr>
        <w:spacing w:after="120" w:line="240" w:lineRule="auto"/>
        <w:jc w:val="both"/>
        <w:rPr>
          <w:rFonts w:ascii="Tahoma" w:hAnsi="Tahoma" w:cs="Tahoma"/>
          <w:i/>
          <w:sz w:val="20"/>
          <w:szCs w:val="20"/>
        </w:rPr>
      </w:pPr>
    </w:p>
    <w:p w14:paraId="6F561CE3" w14:textId="77777777" w:rsidR="009D3B5A" w:rsidRPr="00D23046" w:rsidRDefault="009D3B5A" w:rsidP="009D3B5A">
      <w:pPr>
        <w:spacing w:after="120" w:line="240" w:lineRule="auto"/>
        <w:jc w:val="both"/>
        <w:rPr>
          <w:rFonts w:ascii="Tahoma" w:hAnsi="Tahoma" w:cs="Tahoma"/>
          <w:i/>
          <w:sz w:val="20"/>
          <w:szCs w:val="20"/>
        </w:rPr>
      </w:pPr>
      <w:r w:rsidRPr="00D23046">
        <w:rPr>
          <w:rFonts w:ascii="Tahoma" w:hAnsi="Tahoma" w:cs="Tahoma"/>
          <w:i/>
          <w:noProof/>
          <w:sz w:val="20"/>
          <w:szCs w:val="20"/>
          <w:lang w:val="el-GR" w:eastAsia="el-GR"/>
        </w:rPr>
        <w:drawing>
          <wp:inline distT="0" distB="0" distL="0" distR="0" wp14:anchorId="32E860F3" wp14:editId="7B1009F9">
            <wp:extent cx="4506163" cy="2278685"/>
            <wp:effectExtent l="0" t="0" r="8890" b="7620"/>
            <wp:docPr id="10" name="Γράφημα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59F2234" w14:textId="77777777" w:rsidR="009D3B5A" w:rsidRPr="00D23046" w:rsidRDefault="009D3B5A" w:rsidP="009D3B5A">
      <w:pPr>
        <w:spacing w:after="120" w:line="240" w:lineRule="auto"/>
        <w:jc w:val="both"/>
        <w:rPr>
          <w:rFonts w:ascii="Tahoma" w:hAnsi="Tahoma" w:cs="Tahoma"/>
          <w:i/>
          <w:sz w:val="20"/>
          <w:szCs w:val="20"/>
        </w:rPr>
      </w:pPr>
    </w:p>
    <w:p w14:paraId="54F01AE7" w14:textId="77777777" w:rsidR="009D3B5A" w:rsidRPr="00D23046" w:rsidRDefault="009D3B5A" w:rsidP="009D3B5A">
      <w:pPr>
        <w:spacing w:after="120" w:line="240" w:lineRule="auto"/>
        <w:jc w:val="both"/>
        <w:rPr>
          <w:rFonts w:ascii="Tahoma" w:hAnsi="Tahoma" w:cs="Tahoma"/>
          <w:i/>
          <w:sz w:val="20"/>
          <w:szCs w:val="20"/>
        </w:rPr>
      </w:pPr>
    </w:p>
    <w:p w14:paraId="1A44ECFB" w14:textId="77777777" w:rsidR="009D3B5A" w:rsidRPr="00D23046" w:rsidRDefault="009D3B5A" w:rsidP="009D3B5A">
      <w:pPr>
        <w:spacing w:after="120" w:line="240" w:lineRule="auto"/>
        <w:jc w:val="both"/>
        <w:rPr>
          <w:rFonts w:ascii="Tahoma" w:hAnsi="Tahoma" w:cs="Tahoma"/>
          <w:sz w:val="20"/>
          <w:szCs w:val="20"/>
        </w:rPr>
      </w:pPr>
    </w:p>
    <w:p w14:paraId="61442396" w14:textId="77777777" w:rsidR="009D3B5A" w:rsidRDefault="009D3B5A" w:rsidP="009D3B5A">
      <w:pPr>
        <w:spacing w:after="120" w:line="240" w:lineRule="auto"/>
        <w:jc w:val="both"/>
        <w:rPr>
          <w:rFonts w:ascii="Tahoma" w:hAnsi="Tahoma" w:cs="Tahoma"/>
          <w:sz w:val="20"/>
          <w:szCs w:val="20"/>
          <w:lang w:val="el-GR"/>
        </w:rPr>
      </w:pPr>
      <w:r w:rsidRPr="009D3B5A">
        <w:rPr>
          <w:rFonts w:ascii="Tahoma" w:hAnsi="Tahoma" w:cs="Tahoma"/>
          <w:sz w:val="20"/>
          <w:szCs w:val="20"/>
          <w:lang w:val="el-GR"/>
        </w:rPr>
        <w:lastRenderedPageBreak/>
        <w:t xml:space="preserve">Το σύνολο των χορηγήσεων ανήλθε, προς επιχειρήσεις και επαγγελματίες όλων των κλάδων της οικονομίας στα 244,19 εκ. ευρώ αντιπροσωπεύοντας το 95,03% των συνολικών χορηγήσεων, προς Ιδιώτες στα 12,39 εκ. ευρώ  (4,82%) και προς Δημόσιο στα 0,38 εκ. ευρώ (0,15%).  </w:t>
      </w:r>
    </w:p>
    <w:p w14:paraId="6C1DB01C" w14:textId="77777777" w:rsidR="009D3B5A" w:rsidRDefault="009D3B5A" w:rsidP="009D3B5A">
      <w:pPr>
        <w:spacing w:after="120" w:line="240" w:lineRule="auto"/>
        <w:jc w:val="both"/>
        <w:rPr>
          <w:rFonts w:ascii="Tahoma" w:hAnsi="Tahoma" w:cs="Tahoma"/>
          <w:sz w:val="20"/>
          <w:szCs w:val="20"/>
          <w:lang w:val="el-GR"/>
        </w:rPr>
      </w:pPr>
    </w:p>
    <w:p w14:paraId="797EBE3B" w14:textId="77777777" w:rsidR="009D3B5A" w:rsidRPr="004C0581" w:rsidRDefault="009D3B5A" w:rsidP="004C0581">
      <w:pPr>
        <w:spacing w:after="120" w:line="240" w:lineRule="auto"/>
        <w:jc w:val="both"/>
        <w:rPr>
          <w:rFonts w:ascii="Tahoma" w:hAnsi="Tahoma" w:cs="Tahoma"/>
          <w:b/>
          <w:sz w:val="20"/>
          <w:szCs w:val="20"/>
        </w:rPr>
      </w:pPr>
      <w:bookmarkStart w:id="0" w:name="_GoBack"/>
      <w:bookmarkEnd w:id="0"/>
      <w:r w:rsidRPr="004C0581">
        <w:rPr>
          <w:rFonts w:ascii="Tahoma" w:hAnsi="Tahoma" w:cs="Tahoma"/>
          <w:b/>
          <w:sz w:val="20"/>
          <w:szCs w:val="20"/>
        </w:rPr>
        <w:t>Αποτελέσματα Χρήσης</w:t>
      </w:r>
    </w:p>
    <w:p w14:paraId="0E54CCC8" w14:textId="77777777" w:rsidR="009D3B5A" w:rsidRPr="009D3B5A" w:rsidRDefault="009D3B5A" w:rsidP="009D3B5A">
      <w:pPr>
        <w:spacing w:after="120" w:line="240" w:lineRule="auto"/>
        <w:jc w:val="both"/>
        <w:rPr>
          <w:rFonts w:ascii="Tahoma" w:hAnsi="Tahoma" w:cs="Tahoma"/>
          <w:sz w:val="20"/>
          <w:szCs w:val="20"/>
          <w:lang w:val="el-GR"/>
        </w:rPr>
      </w:pPr>
      <w:r w:rsidRPr="009D3B5A">
        <w:rPr>
          <w:rFonts w:ascii="Tahoma" w:hAnsi="Tahoma" w:cs="Tahoma"/>
          <w:sz w:val="20"/>
          <w:szCs w:val="20"/>
          <w:lang w:val="el-GR"/>
        </w:rPr>
        <w:t xml:space="preserve">Τα έσοδα από τόκους  ανήλθαν στα 11 εκ. ευρώ παρουσιάζοντας αύξηση σε σχέση με την προηγούμενη χρήση της τάξης του 6%. Η αύξηση οφείλεται στην σημαντική αύξηση των εργασιών η  οποία υπερκάλυψε την παύση εκτοκισμού σε χορηγήσεις σε καθυστέρηση και τη μείωση του μέσου επιτοκίου χορηγήσεων. Τα έξοδα τόκων ύψους 2,5 εκ. ευρώ παρέμειναν στο ίδιο επίπεδο σε σχέση με την προηγούμενη χρήση, με την αύξηση των καταθέσεων να αντισταθμίζει την μείωση του επιτοκίου. Αποτέλεσμα των μεταβολών αυτών το μικτό αποτέλεσμα τόκων ύψους 8,1 εκατ. ευρώ να είναι αυξημένο κατά 8% σε σχέση με την προηγούμενη χρήση. </w:t>
      </w:r>
    </w:p>
    <w:p w14:paraId="6640C522" w14:textId="77777777" w:rsidR="009D3B5A" w:rsidRPr="009D3B5A" w:rsidRDefault="009D3B5A" w:rsidP="009D3B5A">
      <w:pPr>
        <w:spacing w:after="120" w:line="240" w:lineRule="auto"/>
        <w:jc w:val="both"/>
        <w:rPr>
          <w:rFonts w:ascii="Tahoma" w:hAnsi="Tahoma" w:cs="Tahoma"/>
          <w:sz w:val="20"/>
          <w:szCs w:val="20"/>
          <w:lang w:val="el-GR"/>
        </w:rPr>
      </w:pPr>
      <w:r w:rsidRPr="009D3B5A">
        <w:rPr>
          <w:rFonts w:ascii="Tahoma" w:hAnsi="Tahoma" w:cs="Tahoma"/>
          <w:sz w:val="20"/>
          <w:szCs w:val="20"/>
          <w:lang w:val="el-GR"/>
        </w:rPr>
        <w:t xml:space="preserve">Τα καθαρά έσοδα προμηθειών αυξήθηκαν κατά 3% σε σχέση με την προηγούμενη χρήση. Το αποτέλεσμα οφείλεται στη ποιοτική και ποσοτική διεύρυνση των λοιπών τραπεζικών εργασιών με την αξιοποίηση από το πελατολόγιο της Τράπεζας των συστημάτων πληρωμών ΔΙΑΣ, της χρήσης των πιστωτικών καρτών, του </w:t>
      </w:r>
      <w:r w:rsidRPr="00D23046">
        <w:rPr>
          <w:rFonts w:ascii="Tahoma" w:hAnsi="Tahoma" w:cs="Tahoma"/>
          <w:sz w:val="20"/>
          <w:szCs w:val="20"/>
        </w:rPr>
        <w:t>internet</w:t>
      </w:r>
      <w:r w:rsidRPr="009D3B5A">
        <w:rPr>
          <w:rFonts w:ascii="Tahoma" w:hAnsi="Tahoma" w:cs="Tahoma"/>
          <w:sz w:val="20"/>
          <w:szCs w:val="20"/>
          <w:lang w:val="el-GR"/>
        </w:rPr>
        <w:t xml:space="preserve"> </w:t>
      </w:r>
      <w:r w:rsidRPr="00D23046">
        <w:rPr>
          <w:rFonts w:ascii="Tahoma" w:hAnsi="Tahoma" w:cs="Tahoma"/>
          <w:sz w:val="20"/>
          <w:szCs w:val="20"/>
        </w:rPr>
        <w:t>banking</w:t>
      </w:r>
      <w:r w:rsidRPr="009D3B5A">
        <w:rPr>
          <w:rFonts w:ascii="Tahoma" w:hAnsi="Tahoma" w:cs="Tahoma"/>
          <w:sz w:val="20"/>
          <w:szCs w:val="20"/>
          <w:lang w:val="el-GR"/>
        </w:rPr>
        <w:t xml:space="preserve">, των συσκευών </w:t>
      </w:r>
      <w:r w:rsidRPr="00D23046">
        <w:rPr>
          <w:rFonts w:ascii="Tahoma" w:hAnsi="Tahoma" w:cs="Tahoma"/>
          <w:sz w:val="20"/>
          <w:szCs w:val="20"/>
        </w:rPr>
        <w:t>POS</w:t>
      </w:r>
      <w:r w:rsidRPr="009D3B5A">
        <w:rPr>
          <w:rFonts w:ascii="Tahoma" w:hAnsi="Tahoma" w:cs="Tahoma"/>
          <w:sz w:val="20"/>
          <w:szCs w:val="20"/>
          <w:lang w:val="el-GR"/>
        </w:rPr>
        <w:t xml:space="preserve"> από τους εμπόρους που συνεργάζονται μαζί μας, μαζί με τις «κλασικές» εργασίες, όπως οι εγγυητικές επιστολές, η διαχείριση των επιταγών κλπ.</w:t>
      </w:r>
    </w:p>
    <w:p w14:paraId="5DD79732" w14:textId="77777777" w:rsidR="009D3B5A" w:rsidRPr="009D3B5A" w:rsidRDefault="009D3B5A" w:rsidP="009D3B5A">
      <w:pPr>
        <w:spacing w:after="120" w:line="240" w:lineRule="auto"/>
        <w:jc w:val="both"/>
        <w:rPr>
          <w:rFonts w:ascii="Tahoma" w:hAnsi="Tahoma" w:cs="Tahoma"/>
          <w:sz w:val="20"/>
          <w:szCs w:val="20"/>
          <w:lang w:val="el-GR"/>
        </w:rPr>
      </w:pPr>
      <w:r w:rsidRPr="009D3B5A">
        <w:rPr>
          <w:rFonts w:ascii="Tahoma" w:hAnsi="Tahoma" w:cs="Tahoma"/>
          <w:sz w:val="20"/>
          <w:szCs w:val="20"/>
          <w:lang w:val="el-GR"/>
        </w:rPr>
        <w:t>Τα καθαρά έσοδα χρήσης που περιλαμβάνουν τα μικτά έσοδα τόκων, τα καθαρά έσοδα προμηθειών και τα λοιπά έσοδα της τράπεζας ανήλθαν στα 9,3 εκ. ευρώ αυξημένα σε σχέση με την προηγούμενη χρήση κατά 8,5%.</w:t>
      </w:r>
    </w:p>
    <w:p w14:paraId="32D03DF2" w14:textId="77777777" w:rsidR="009D3B5A" w:rsidRPr="009D3B5A" w:rsidRDefault="009D3B5A" w:rsidP="009D3B5A">
      <w:pPr>
        <w:spacing w:after="120" w:line="240" w:lineRule="auto"/>
        <w:jc w:val="both"/>
        <w:rPr>
          <w:rFonts w:ascii="Tahoma" w:hAnsi="Tahoma" w:cs="Tahoma"/>
          <w:sz w:val="20"/>
          <w:szCs w:val="20"/>
          <w:lang w:val="el-GR"/>
        </w:rPr>
      </w:pPr>
      <w:r w:rsidRPr="009D3B5A">
        <w:rPr>
          <w:rFonts w:ascii="Tahoma" w:hAnsi="Tahoma" w:cs="Tahoma"/>
          <w:sz w:val="20"/>
          <w:szCs w:val="20"/>
          <w:lang w:val="el-GR"/>
        </w:rPr>
        <w:t>Όσον αφορά τα λειτουργικά έξοδα, τα έξοδα μισθοδοσίας αυξήθηκαν σε σχέση με τη προηγούμενη χρήση λόγω των αναγκών στελέχωσης των κεντρικών υπηρεσιών και των καταστημάτων. Τα λοιπά έξοδα διοίκησης ύψους 1,6 εκ. ευρώ αυξήθηκαν ελαφρά σε σχέση με το 2018. Οι αποσβέσεις αυξήθηκαν στα 527 χιλ. ευρώ από 374 χιλ. ευρώ στην προηγούμενη χρήση λόγω της εφαρμογής του ΔΠΧΑ 16.</w:t>
      </w:r>
    </w:p>
    <w:p w14:paraId="79E52C26" w14:textId="77777777" w:rsidR="009D3B5A" w:rsidRPr="009D3B5A" w:rsidRDefault="009D3B5A" w:rsidP="009D3B5A">
      <w:pPr>
        <w:spacing w:after="120" w:line="240" w:lineRule="auto"/>
        <w:jc w:val="both"/>
        <w:rPr>
          <w:rFonts w:ascii="Tahoma" w:hAnsi="Tahoma" w:cs="Tahoma"/>
          <w:sz w:val="20"/>
          <w:szCs w:val="20"/>
          <w:lang w:val="el-GR"/>
        </w:rPr>
      </w:pPr>
      <w:r w:rsidRPr="009D3B5A">
        <w:rPr>
          <w:rFonts w:ascii="Tahoma" w:hAnsi="Tahoma" w:cs="Tahoma"/>
          <w:sz w:val="20"/>
          <w:szCs w:val="20"/>
          <w:lang w:val="el-GR"/>
        </w:rPr>
        <w:t xml:space="preserve">Το αποτέλεσμα προ προβλέψεων ανήλθε στα 3,7 εκ. ευρώ αυξημένο σε σχέση με την προηγούμενη χρήση κατά 12%. Η αύξηση αυτή καταγράφει τη βελτίωση όλων των επιμέρους μεγεθών που διαμορφώνουν τα αποτελέσματα εκμετάλλευσης.  </w:t>
      </w:r>
    </w:p>
    <w:p w14:paraId="67DBB9B2" w14:textId="77777777" w:rsidR="009D3B5A" w:rsidRPr="004C0581" w:rsidRDefault="009D3B5A" w:rsidP="009D3B5A">
      <w:pPr>
        <w:spacing w:after="120" w:line="240" w:lineRule="auto"/>
        <w:jc w:val="both"/>
        <w:rPr>
          <w:rFonts w:ascii="Tahoma" w:hAnsi="Tahoma" w:cs="Tahoma"/>
          <w:sz w:val="20"/>
          <w:szCs w:val="20"/>
          <w:lang w:val="el-GR"/>
        </w:rPr>
      </w:pPr>
      <w:r w:rsidRPr="009D3B5A">
        <w:rPr>
          <w:rFonts w:ascii="Tahoma" w:hAnsi="Tahoma" w:cs="Tahoma"/>
          <w:sz w:val="20"/>
          <w:szCs w:val="20"/>
          <w:lang w:val="el-GR"/>
        </w:rPr>
        <w:t xml:space="preserve">Η Τράπεζα προχώρησε και σε αυτή τη χρήση σε σημαντικές προβλέψεις για την αντιμετώπιση του πιστωτικού κινδύνου του χαρτοφυλακίου της, οι οποίες έγιναν και με το αυστηρότερο πλαίσιο ΔΠΧΑ 9. </w:t>
      </w:r>
      <w:r w:rsidRPr="004C0581">
        <w:rPr>
          <w:rFonts w:ascii="Tahoma" w:hAnsi="Tahoma" w:cs="Tahoma"/>
          <w:sz w:val="20"/>
          <w:szCs w:val="20"/>
          <w:lang w:val="el-GR"/>
        </w:rPr>
        <w:t xml:space="preserve">Οι προβλέψεις ανήλθαν στο ποσό των 2,3 εκατ. ευρώ. </w:t>
      </w:r>
    </w:p>
    <w:p w14:paraId="736FC04C" w14:textId="77777777" w:rsidR="009D3B5A" w:rsidRPr="009D3B5A" w:rsidRDefault="009D3B5A" w:rsidP="009D3B5A">
      <w:pPr>
        <w:spacing w:after="120" w:line="240" w:lineRule="auto"/>
        <w:jc w:val="both"/>
        <w:rPr>
          <w:rFonts w:ascii="Tahoma" w:hAnsi="Tahoma" w:cs="Tahoma"/>
          <w:color w:val="FF0000"/>
          <w:sz w:val="20"/>
          <w:szCs w:val="20"/>
          <w:lang w:val="el-GR"/>
        </w:rPr>
      </w:pPr>
      <w:r w:rsidRPr="009D3B5A">
        <w:rPr>
          <w:rFonts w:ascii="Tahoma" w:hAnsi="Tahoma" w:cs="Tahoma"/>
          <w:sz w:val="20"/>
          <w:szCs w:val="20"/>
          <w:lang w:val="el-GR"/>
        </w:rPr>
        <w:t>Το αποτέλεσμα της χρήσης προ φόρων ανήλθε σε 1,44 εκατ. ευρώ αυξημένα κατά 17% σε σχέση με την προηγούμενη χρήση. Επίσης τα κέρδη μετά από φόρους ανήλθαν στα 871 χιλ. ευρώ αυξημένα κατά 6% σε σχέση με την χρήση 2018.</w:t>
      </w:r>
    </w:p>
    <w:p w14:paraId="21310D43" w14:textId="77777777" w:rsidR="009D3B5A" w:rsidRPr="009D3B5A" w:rsidRDefault="009D3B5A" w:rsidP="009D3B5A">
      <w:pPr>
        <w:spacing w:after="120" w:line="240" w:lineRule="auto"/>
        <w:ind w:firstLine="360"/>
        <w:jc w:val="both"/>
        <w:rPr>
          <w:rFonts w:ascii="Tahoma" w:hAnsi="Tahoma" w:cs="Tahoma"/>
          <w:color w:val="FF0000"/>
          <w:sz w:val="20"/>
          <w:szCs w:val="20"/>
          <w:lang w:val="el-GR"/>
        </w:rPr>
      </w:pPr>
    </w:p>
    <w:p w14:paraId="71D67B4F" w14:textId="77777777" w:rsidR="009D3B5A" w:rsidRPr="00D23046" w:rsidRDefault="009D3B5A" w:rsidP="009D3B5A">
      <w:pPr>
        <w:spacing w:after="120" w:line="240" w:lineRule="auto"/>
        <w:rPr>
          <w:rFonts w:ascii="Tahoma" w:eastAsia="Times New Roman" w:hAnsi="Tahoma" w:cs="Tahoma"/>
          <w:b/>
          <w:bCs/>
          <w:sz w:val="20"/>
          <w:szCs w:val="20"/>
          <w:lang w:eastAsia="el-GR"/>
        </w:rPr>
      </w:pPr>
      <w:r w:rsidRPr="00D23046">
        <w:rPr>
          <w:rFonts w:ascii="Tahoma" w:eastAsia="Times New Roman" w:hAnsi="Tahoma" w:cs="Tahoma"/>
          <w:b/>
          <w:bCs/>
          <w:sz w:val="20"/>
          <w:szCs w:val="20"/>
          <w:lang w:eastAsia="el-GR"/>
        </w:rPr>
        <w:t>ΑΠΟΤΕΛΕΣΜΑΤΑ ΧΡΗΣΗΣ</w:t>
      </w:r>
    </w:p>
    <w:tbl>
      <w:tblPr>
        <w:tblW w:w="8240" w:type="dxa"/>
        <w:tblLook w:val="04A0" w:firstRow="1" w:lastRow="0" w:firstColumn="1" w:lastColumn="0" w:noHBand="0" w:noVBand="1"/>
      </w:tblPr>
      <w:tblGrid>
        <w:gridCol w:w="3280"/>
        <w:gridCol w:w="1360"/>
        <w:gridCol w:w="1240"/>
        <w:gridCol w:w="1240"/>
        <w:gridCol w:w="1240"/>
      </w:tblGrid>
      <w:tr w:rsidR="009D3B5A" w:rsidRPr="00D23046" w14:paraId="37022AA9" w14:textId="77777777" w:rsidTr="009D3B5A">
        <w:trPr>
          <w:trHeight w:val="360"/>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579D6" w14:textId="77777777" w:rsidR="009D3B5A" w:rsidRPr="00D23046" w:rsidRDefault="009D3B5A" w:rsidP="009D3B5A">
            <w:pPr>
              <w:spacing w:after="0" w:line="240" w:lineRule="auto"/>
              <w:rPr>
                <w:rFonts w:ascii="Tahoma" w:eastAsia="Times New Roman" w:hAnsi="Tahoma" w:cs="Tahoma"/>
                <w:sz w:val="20"/>
                <w:szCs w:val="20"/>
                <w:lang w:eastAsia="el-GR"/>
              </w:rPr>
            </w:pPr>
            <w:r w:rsidRPr="00D23046">
              <w:rPr>
                <w:rFonts w:ascii="Tahoma" w:eastAsia="Times New Roman" w:hAnsi="Tahoma" w:cs="Tahoma"/>
                <w:sz w:val="20"/>
                <w:szCs w:val="20"/>
                <w:lang w:eastAsia="el-GR"/>
              </w:rPr>
              <w:t>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205FF590" w14:textId="77777777" w:rsidR="009D3B5A" w:rsidRPr="00D23046" w:rsidRDefault="009D3B5A" w:rsidP="009D3B5A">
            <w:pPr>
              <w:spacing w:after="0" w:line="240" w:lineRule="auto"/>
              <w:jc w:val="center"/>
              <w:rPr>
                <w:rFonts w:ascii="Tahoma" w:eastAsia="Times New Roman" w:hAnsi="Tahoma" w:cs="Tahoma"/>
                <w:sz w:val="20"/>
                <w:szCs w:val="20"/>
                <w:lang w:eastAsia="el-GR"/>
              </w:rPr>
            </w:pPr>
            <w:r w:rsidRPr="00D23046">
              <w:rPr>
                <w:rFonts w:ascii="Tahoma" w:eastAsia="Times New Roman" w:hAnsi="Tahoma" w:cs="Tahoma"/>
                <w:sz w:val="20"/>
                <w:szCs w:val="20"/>
                <w:lang w:eastAsia="el-GR"/>
              </w:rPr>
              <w:t>2015</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1C5C6198" w14:textId="77777777" w:rsidR="009D3B5A" w:rsidRPr="00D23046" w:rsidRDefault="009D3B5A" w:rsidP="009D3B5A">
            <w:pPr>
              <w:spacing w:after="0" w:line="240" w:lineRule="auto"/>
              <w:jc w:val="center"/>
              <w:rPr>
                <w:rFonts w:ascii="Tahoma" w:eastAsia="Times New Roman" w:hAnsi="Tahoma" w:cs="Tahoma"/>
                <w:sz w:val="20"/>
                <w:szCs w:val="20"/>
                <w:lang w:eastAsia="el-GR"/>
              </w:rPr>
            </w:pPr>
            <w:r w:rsidRPr="00D23046">
              <w:rPr>
                <w:rFonts w:ascii="Tahoma" w:eastAsia="Times New Roman" w:hAnsi="Tahoma" w:cs="Tahoma"/>
                <w:sz w:val="20"/>
                <w:szCs w:val="20"/>
                <w:lang w:eastAsia="el-GR"/>
              </w:rPr>
              <w:t>2016</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1F18B440" w14:textId="77777777" w:rsidR="009D3B5A" w:rsidRPr="00D23046" w:rsidRDefault="009D3B5A" w:rsidP="009D3B5A">
            <w:pPr>
              <w:spacing w:after="0" w:line="240" w:lineRule="auto"/>
              <w:jc w:val="center"/>
              <w:rPr>
                <w:rFonts w:ascii="Tahoma" w:eastAsia="Times New Roman" w:hAnsi="Tahoma" w:cs="Tahoma"/>
                <w:sz w:val="20"/>
                <w:szCs w:val="20"/>
                <w:lang w:eastAsia="el-GR"/>
              </w:rPr>
            </w:pPr>
            <w:r w:rsidRPr="00D23046">
              <w:rPr>
                <w:rFonts w:ascii="Tahoma" w:eastAsia="Times New Roman" w:hAnsi="Tahoma" w:cs="Tahoma"/>
                <w:sz w:val="20"/>
                <w:szCs w:val="20"/>
                <w:lang w:eastAsia="el-GR"/>
              </w:rPr>
              <w:t>2017</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11C7BF4A" w14:textId="77777777" w:rsidR="009D3B5A" w:rsidRPr="00D23046" w:rsidRDefault="009D3B5A" w:rsidP="009D3B5A">
            <w:pPr>
              <w:spacing w:after="0" w:line="240" w:lineRule="auto"/>
              <w:jc w:val="center"/>
              <w:rPr>
                <w:rFonts w:ascii="Tahoma" w:eastAsia="Times New Roman" w:hAnsi="Tahoma" w:cs="Tahoma"/>
                <w:sz w:val="20"/>
                <w:szCs w:val="20"/>
                <w:lang w:eastAsia="el-GR"/>
              </w:rPr>
            </w:pPr>
            <w:r w:rsidRPr="00D23046">
              <w:rPr>
                <w:rFonts w:ascii="Tahoma" w:eastAsia="Times New Roman" w:hAnsi="Tahoma" w:cs="Tahoma"/>
                <w:sz w:val="20"/>
                <w:szCs w:val="20"/>
                <w:lang w:eastAsia="el-GR"/>
              </w:rPr>
              <w:t>2018</w:t>
            </w:r>
          </w:p>
        </w:tc>
      </w:tr>
      <w:tr w:rsidR="009D3B5A" w:rsidRPr="00D23046" w14:paraId="61C530D1" w14:textId="77777777" w:rsidTr="009D3B5A">
        <w:trPr>
          <w:trHeight w:val="360"/>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692B78BF" w14:textId="77777777" w:rsidR="009D3B5A" w:rsidRPr="00D23046" w:rsidRDefault="009D3B5A" w:rsidP="009D3B5A">
            <w:pPr>
              <w:spacing w:after="0" w:line="240" w:lineRule="auto"/>
              <w:rPr>
                <w:rFonts w:ascii="Tahoma" w:eastAsia="Times New Roman" w:hAnsi="Tahoma" w:cs="Tahoma"/>
                <w:sz w:val="20"/>
                <w:szCs w:val="20"/>
                <w:lang w:eastAsia="el-GR"/>
              </w:rPr>
            </w:pPr>
            <w:proofErr w:type="spellStart"/>
            <w:r w:rsidRPr="00D23046">
              <w:rPr>
                <w:rFonts w:ascii="Tahoma" w:eastAsia="Times New Roman" w:hAnsi="Tahoma" w:cs="Tahoma"/>
                <w:sz w:val="20"/>
                <w:szCs w:val="20"/>
                <w:lang w:eastAsia="el-GR"/>
              </w:rPr>
              <w:t>Έσοδ</w:t>
            </w:r>
            <w:proofErr w:type="spellEnd"/>
            <w:r w:rsidRPr="00D23046">
              <w:rPr>
                <w:rFonts w:ascii="Tahoma" w:eastAsia="Times New Roman" w:hAnsi="Tahoma" w:cs="Tahoma"/>
                <w:sz w:val="20"/>
                <w:szCs w:val="20"/>
                <w:lang w:eastAsia="el-GR"/>
              </w:rPr>
              <w:t xml:space="preserve">α από </w:t>
            </w:r>
            <w:proofErr w:type="spellStart"/>
            <w:r w:rsidRPr="00D23046">
              <w:rPr>
                <w:rFonts w:ascii="Tahoma" w:eastAsia="Times New Roman" w:hAnsi="Tahoma" w:cs="Tahoma"/>
                <w:sz w:val="20"/>
                <w:szCs w:val="20"/>
                <w:lang w:eastAsia="el-GR"/>
              </w:rPr>
              <w:t>τόκους</w:t>
            </w:r>
            <w:proofErr w:type="spellEnd"/>
          </w:p>
        </w:tc>
        <w:tc>
          <w:tcPr>
            <w:tcW w:w="1240" w:type="dxa"/>
            <w:tcBorders>
              <w:top w:val="nil"/>
              <w:left w:val="nil"/>
              <w:bottom w:val="single" w:sz="4" w:space="0" w:color="auto"/>
              <w:right w:val="single" w:sz="4" w:space="0" w:color="auto"/>
            </w:tcBorders>
            <w:shd w:val="clear" w:color="auto" w:fill="auto"/>
            <w:noWrap/>
            <w:vAlign w:val="center"/>
            <w:hideMark/>
          </w:tcPr>
          <w:p w14:paraId="43C4320B" w14:textId="77777777" w:rsidR="009D3B5A" w:rsidRPr="00D23046" w:rsidRDefault="009D3B5A" w:rsidP="009D3B5A">
            <w:pPr>
              <w:spacing w:after="0" w:line="240" w:lineRule="auto"/>
              <w:jc w:val="right"/>
              <w:rPr>
                <w:rFonts w:ascii="Tahoma" w:eastAsia="Times New Roman" w:hAnsi="Tahoma" w:cs="Tahoma"/>
                <w:sz w:val="20"/>
                <w:szCs w:val="20"/>
                <w:lang w:eastAsia="el-GR"/>
              </w:rPr>
            </w:pPr>
            <w:r w:rsidRPr="00D23046">
              <w:rPr>
                <w:rFonts w:ascii="Tahoma" w:eastAsia="Times New Roman" w:hAnsi="Tahoma" w:cs="Tahoma"/>
                <w:sz w:val="20"/>
                <w:szCs w:val="20"/>
                <w:lang w:eastAsia="el-GR"/>
              </w:rPr>
              <w:t>12.732.764</w:t>
            </w:r>
          </w:p>
        </w:tc>
        <w:tc>
          <w:tcPr>
            <w:tcW w:w="1240" w:type="dxa"/>
            <w:tcBorders>
              <w:top w:val="nil"/>
              <w:left w:val="nil"/>
              <w:bottom w:val="single" w:sz="4" w:space="0" w:color="auto"/>
              <w:right w:val="single" w:sz="4" w:space="0" w:color="auto"/>
            </w:tcBorders>
            <w:shd w:val="clear" w:color="auto" w:fill="auto"/>
            <w:noWrap/>
            <w:vAlign w:val="center"/>
            <w:hideMark/>
          </w:tcPr>
          <w:p w14:paraId="58C0B719" w14:textId="77777777" w:rsidR="009D3B5A" w:rsidRPr="00D23046" w:rsidRDefault="009D3B5A" w:rsidP="009D3B5A">
            <w:pPr>
              <w:spacing w:after="0" w:line="240" w:lineRule="auto"/>
              <w:jc w:val="right"/>
              <w:rPr>
                <w:rFonts w:ascii="Tahoma" w:eastAsia="Times New Roman" w:hAnsi="Tahoma" w:cs="Tahoma"/>
                <w:sz w:val="20"/>
                <w:szCs w:val="20"/>
                <w:lang w:eastAsia="el-GR"/>
              </w:rPr>
            </w:pPr>
            <w:r w:rsidRPr="00D23046">
              <w:rPr>
                <w:rFonts w:ascii="Tahoma" w:eastAsia="Times New Roman" w:hAnsi="Tahoma" w:cs="Tahoma"/>
                <w:sz w:val="20"/>
                <w:szCs w:val="20"/>
                <w:lang w:eastAsia="el-GR"/>
              </w:rPr>
              <w:t>10.042.597</w:t>
            </w:r>
          </w:p>
        </w:tc>
        <w:tc>
          <w:tcPr>
            <w:tcW w:w="1240" w:type="dxa"/>
            <w:tcBorders>
              <w:top w:val="nil"/>
              <w:left w:val="nil"/>
              <w:bottom w:val="single" w:sz="4" w:space="0" w:color="auto"/>
              <w:right w:val="single" w:sz="4" w:space="0" w:color="auto"/>
            </w:tcBorders>
            <w:shd w:val="clear" w:color="auto" w:fill="auto"/>
            <w:noWrap/>
            <w:vAlign w:val="center"/>
            <w:hideMark/>
          </w:tcPr>
          <w:p w14:paraId="743D1185" w14:textId="77777777" w:rsidR="009D3B5A" w:rsidRPr="00D23046" w:rsidRDefault="009D3B5A" w:rsidP="009D3B5A">
            <w:pPr>
              <w:spacing w:after="0" w:line="240" w:lineRule="auto"/>
              <w:jc w:val="right"/>
              <w:rPr>
                <w:rFonts w:ascii="Tahoma" w:eastAsia="Times New Roman" w:hAnsi="Tahoma" w:cs="Tahoma"/>
                <w:sz w:val="20"/>
                <w:szCs w:val="20"/>
                <w:lang w:eastAsia="el-GR"/>
              </w:rPr>
            </w:pPr>
            <w:r w:rsidRPr="00D23046">
              <w:rPr>
                <w:rFonts w:ascii="Tahoma" w:eastAsia="Times New Roman" w:hAnsi="Tahoma" w:cs="Tahoma"/>
                <w:sz w:val="20"/>
                <w:szCs w:val="20"/>
                <w:lang w:eastAsia="el-GR"/>
              </w:rPr>
              <w:t>9.498.170</w:t>
            </w:r>
          </w:p>
        </w:tc>
        <w:tc>
          <w:tcPr>
            <w:tcW w:w="1240" w:type="dxa"/>
            <w:tcBorders>
              <w:top w:val="nil"/>
              <w:left w:val="nil"/>
              <w:bottom w:val="single" w:sz="4" w:space="0" w:color="auto"/>
              <w:right w:val="single" w:sz="4" w:space="0" w:color="auto"/>
            </w:tcBorders>
            <w:shd w:val="clear" w:color="auto" w:fill="auto"/>
            <w:noWrap/>
            <w:vAlign w:val="center"/>
            <w:hideMark/>
          </w:tcPr>
          <w:p w14:paraId="65D61A8B" w14:textId="77777777" w:rsidR="009D3B5A" w:rsidRPr="00D23046" w:rsidRDefault="009D3B5A" w:rsidP="009D3B5A">
            <w:pPr>
              <w:spacing w:after="0" w:line="240" w:lineRule="auto"/>
              <w:jc w:val="right"/>
              <w:rPr>
                <w:rFonts w:ascii="Tahoma" w:eastAsia="Times New Roman" w:hAnsi="Tahoma" w:cs="Tahoma"/>
                <w:sz w:val="20"/>
                <w:szCs w:val="20"/>
                <w:lang w:eastAsia="el-GR"/>
              </w:rPr>
            </w:pPr>
            <w:r w:rsidRPr="00D23046">
              <w:rPr>
                <w:rFonts w:ascii="Tahoma" w:eastAsia="Times New Roman" w:hAnsi="Tahoma" w:cs="Tahoma"/>
                <w:sz w:val="20"/>
                <w:szCs w:val="20"/>
                <w:lang w:eastAsia="el-GR"/>
              </w:rPr>
              <w:t>10.065.389</w:t>
            </w:r>
          </w:p>
        </w:tc>
      </w:tr>
      <w:tr w:rsidR="009D3B5A" w:rsidRPr="00D23046" w14:paraId="7CDC329F" w14:textId="77777777" w:rsidTr="009D3B5A">
        <w:trPr>
          <w:trHeight w:val="360"/>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64EEB876" w14:textId="77777777" w:rsidR="009D3B5A" w:rsidRPr="00D23046" w:rsidRDefault="009D3B5A" w:rsidP="009D3B5A">
            <w:pPr>
              <w:spacing w:after="0" w:line="240" w:lineRule="auto"/>
              <w:rPr>
                <w:rFonts w:ascii="Tahoma" w:eastAsia="Times New Roman" w:hAnsi="Tahoma" w:cs="Tahoma"/>
                <w:sz w:val="20"/>
                <w:szCs w:val="20"/>
                <w:lang w:eastAsia="el-GR"/>
              </w:rPr>
            </w:pPr>
            <w:proofErr w:type="spellStart"/>
            <w:r w:rsidRPr="00D23046">
              <w:rPr>
                <w:rFonts w:ascii="Tahoma" w:eastAsia="Times New Roman" w:hAnsi="Tahoma" w:cs="Tahoma"/>
                <w:sz w:val="20"/>
                <w:szCs w:val="20"/>
                <w:lang w:eastAsia="el-GR"/>
              </w:rPr>
              <w:t>Έξοδ</w:t>
            </w:r>
            <w:proofErr w:type="spellEnd"/>
            <w:r w:rsidRPr="00D23046">
              <w:rPr>
                <w:rFonts w:ascii="Tahoma" w:eastAsia="Times New Roman" w:hAnsi="Tahoma" w:cs="Tahoma"/>
                <w:sz w:val="20"/>
                <w:szCs w:val="20"/>
                <w:lang w:eastAsia="el-GR"/>
              </w:rPr>
              <w:t xml:space="preserve">α από </w:t>
            </w:r>
            <w:proofErr w:type="spellStart"/>
            <w:r w:rsidRPr="00D23046">
              <w:rPr>
                <w:rFonts w:ascii="Tahoma" w:eastAsia="Times New Roman" w:hAnsi="Tahoma" w:cs="Tahoma"/>
                <w:sz w:val="20"/>
                <w:szCs w:val="20"/>
                <w:lang w:eastAsia="el-GR"/>
              </w:rPr>
              <w:t>τόκους</w:t>
            </w:r>
            <w:proofErr w:type="spellEnd"/>
          </w:p>
        </w:tc>
        <w:tc>
          <w:tcPr>
            <w:tcW w:w="1240" w:type="dxa"/>
            <w:tcBorders>
              <w:top w:val="nil"/>
              <w:left w:val="nil"/>
              <w:bottom w:val="single" w:sz="4" w:space="0" w:color="auto"/>
              <w:right w:val="single" w:sz="4" w:space="0" w:color="auto"/>
            </w:tcBorders>
            <w:shd w:val="clear" w:color="auto" w:fill="auto"/>
            <w:noWrap/>
            <w:vAlign w:val="center"/>
            <w:hideMark/>
          </w:tcPr>
          <w:p w14:paraId="35276E58" w14:textId="77777777" w:rsidR="009D3B5A" w:rsidRPr="00D23046" w:rsidRDefault="009D3B5A" w:rsidP="009D3B5A">
            <w:pPr>
              <w:spacing w:after="0" w:line="240" w:lineRule="auto"/>
              <w:jc w:val="right"/>
              <w:rPr>
                <w:rFonts w:ascii="Tahoma" w:eastAsia="Times New Roman" w:hAnsi="Tahoma" w:cs="Tahoma"/>
                <w:sz w:val="20"/>
                <w:szCs w:val="20"/>
                <w:lang w:eastAsia="el-GR"/>
              </w:rPr>
            </w:pPr>
            <w:r w:rsidRPr="00D23046">
              <w:rPr>
                <w:rFonts w:ascii="Tahoma" w:eastAsia="Times New Roman" w:hAnsi="Tahoma" w:cs="Tahoma"/>
                <w:sz w:val="20"/>
                <w:szCs w:val="20"/>
                <w:lang w:eastAsia="el-GR"/>
              </w:rPr>
              <w:t>-3.478.616</w:t>
            </w:r>
          </w:p>
        </w:tc>
        <w:tc>
          <w:tcPr>
            <w:tcW w:w="1240" w:type="dxa"/>
            <w:tcBorders>
              <w:top w:val="nil"/>
              <w:left w:val="nil"/>
              <w:bottom w:val="single" w:sz="4" w:space="0" w:color="auto"/>
              <w:right w:val="single" w:sz="4" w:space="0" w:color="auto"/>
            </w:tcBorders>
            <w:shd w:val="clear" w:color="auto" w:fill="auto"/>
            <w:noWrap/>
            <w:vAlign w:val="center"/>
            <w:hideMark/>
          </w:tcPr>
          <w:p w14:paraId="44C0F9E3" w14:textId="77777777" w:rsidR="009D3B5A" w:rsidRPr="00D23046" w:rsidRDefault="009D3B5A" w:rsidP="009D3B5A">
            <w:pPr>
              <w:spacing w:after="0" w:line="240" w:lineRule="auto"/>
              <w:jc w:val="right"/>
              <w:rPr>
                <w:rFonts w:ascii="Tahoma" w:eastAsia="Times New Roman" w:hAnsi="Tahoma" w:cs="Tahoma"/>
                <w:sz w:val="20"/>
                <w:szCs w:val="20"/>
                <w:lang w:eastAsia="el-GR"/>
              </w:rPr>
            </w:pPr>
            <w:r w:rsidRPr="00D23046">
              <w:rPr>
                <w:rFonts w:ascii="Tahoma" w:eastAsia="Times New Roman" w:hAnsi="Tahoma" w:cs="Tahoma"/>
                <w:sz w:val="20"/>
                <w:szCs w:val="20"/>
                <w:lang w:eastAsia="el-GR"/>
              </w:rPr>
              <w:t>-2.524.158</w:t>
            </w:r>
          </w:p>
        </w:tc>
        <w:tc>
          <w:tcPr>
            <w:tcW w:w="1240" w:type="dxa"/>
            <w:tcBorders>
              <w:top w:val="nil"/>
              <w:left w:val="nil"/>
              <w:bottom w:val="single" w:sz="4" w:space="0" w:color="auto"/>
              <w:right w:val="single" w:sz="4" w:space="0" w:color="auto"/>
            </w:tcBorders>
            <w:shd w:val="clear" w:color="auto" w:fill="auto"/>
            <w:noWrap/>
            <w:vAlign w:val="center"/>
            <w:hideMark/>
          </w:tcPr>
          <w:p w14:paraId="3A3F6417" w14:textId="77777777" w:rsidR="009D3B5A" w:rsidRPr="00D23046" w:rsidRDefault="009D3B5A" w:rsidP="009D3B5A">
            <w:pPr>
              <w:spacing w:after="0" w:line="240" w:lineRule="auto"/>
              <w:jc w:val="right"/>
              <w:rPr>
                <w:rFonts w:ascii="Tahoma" w:eastAsia="Times New Roman" w:hAnsi="Tahoma" w:cs="Tahoma"/>
                <w:sz w:val="20"/>
                <w:szCs w:val="20"/>
                <w:lang w:eastAsia="el-GR"/>
              </w:rPr>
            </w:pPr>
            <w:r w:rsidRPr="00D23046">
              <w:rPr>
                <w:rFonts w:ascii="Tahoma" w:eastAsia="Times New Roman" w:hAnsi="Tahoma" w:cs="Tahoma"/>
                <w:sz w:val="20"/>
                <w:szCs w:val="20"/>
                <w:lang w:eastAsia="el-GR"/>
              </w:rPr>
              <w:t>-2.514.080</w:t>
            </w:r>
          </w:p>
        </w:tc>
        <w:tc>
          <w:tcPr>
            <w:tcW w:w="1240" w:type="dxa"/>
            <w:tcBorders>
              <w:top w:val="nil"/>
              <w:left w:val="nil"/>
              <w:bottom w:val="single" w:sz="4" w:space="0" w:color="auto"/>
              <w:right w:val="single" w:sz="4" w:space="0" w:color="auto"/>
            </w:tcBorders>
            <w:shd w:val="clear" w:color="auto" w:fill="auto"/>
            <w:noWrap/>
            <w:vAlign w:val="center"/>
            <w:hideMark/>
          </w:tcPr>
          <w:p w14:paraId="2CEF8C0A" w14:textId="77777777" w:rsidR="009D3B5A" w:rsidRPr="00D23046" w:rsidRDefault="009D3B5A" w:rsidP="009D3B5A">
            <w:pPr>
              <w:spacing w:after="0" w:line="240" w:lineRule="auto"/>
              <w:jc w:val="right"/>
              <w:rPr>
                <w:rFonts w:ascii="Tahoma" w:eastAsia="Times New Roman" w:hAnsi="Tahoma" w:cs="Tahoma"/>
                <w:sz w:val="20"/>
                <w:szCs w:val="20"/>
                <w:lang w:eastAsia="el-GR"/>
              </w:rPr>
            </w:pPr>
            <w:r w:rsidRPr="00D23046">
              <w:rPr>
                <w:rFonts w:ascii="Tahoma" w:eastAsia="Times New Roman" w:hAnsi="Tahoma" w:cs="Tahoma"/>
                <w:sz w:val="20"/>
                <w:szCs w:val="20"/>
                <w:lang w:eastAsia="el-GR"/>
              </w:rPr>
              <w:t>-2.530.851</w:t>
            </w:r>
          </w:p>
        </w:tc>
      </w:tr>
      <w:tr w:rsidR="009D3B5A" w:rsidRPr="00D23046" w14:paraId="378F0B32" w14:textId="77777777" w:rsidTr="009D3B5A">
        <w:trPr>
          <w:trHeight w:val="360"/>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268EF98C" w14:textId="77777777" w:rsidR="009D3B5A" w:rsidRPr="00D23046" w:rsidRDefault="009D3B5A" w:rsidP="009D3B5A">
            <w:pPr>
              <w:spacing w:after="0" w:line="240" w:lineRule="auto"/>
              <w:rPr>
                <w:rFonts w:ascii="Tahoma" w:eastAsia="Times New Roman" w:hAnsi="Tahoma" w:cs="Tahoma"/>
                <w:b/>
                <w:bCs/>
                <w:sz w:val="20"/>
                <w:szCs w:val="20"/>
                <w:lang w:eastAsia="el-GR"/>
              </w:rPr>
            </w:pPr>
            <w:r w:rsidRPr="00D23046">
              <w:rPr>
                <w:rFonts w:ascii="Tahoma" w:eastAsia="Times New Roman" w:hAnsi="Tahoma" w:cs="Tahoma"/>
                <w:b/>
                <w:bCs/>
                <w:sz w:val="20"/>
                <w:szCs w:val="20"/>
                <w:lang w:eastAsia="el-GR"/>
              </w:rPr>
              <w:t>ΜΙΚΤΟ ΚΕΡΔΟΣ ΤΟΚΩΝ</w:t>
            </w:r>
          </w:p>
        </w:tc>
        <w:tc>
          <w:tcPr>
            <w:tcW w:w="1240" w:type="dxa"/>
            <w:tcBorders>
              <w:top w:val="nil"/>
              <w:left w:val="nil"/>
              <w:bottom w:val="single" w:sz="4" w:space="0" w:color="auto"/>
              <w:right w:val="single" w:sz="4" w:space="0" w:color="auto"/>
            </w:tcBorders>
            <w:shd w:val="clear" w:color="auto" w:fill="auto"/>
            <w:noWrap/>
            <w:vAlign w:val="center"/>
            <w:hideMark/>
          </w:tcPr>
          <w:p w14:paraId="56082608" w14:textId="77777777" w:rsidR="009D3B5A" w:rsidRPr="00D23046" w:rsidRDefault="009D3B5A" w:rsidP="009D3B5A">
            <w:pPr>
              <w:spacing w:after="0" w:line="240" w:lineRule="auto"/>
              <w:jc w:val="right"/>
              <w:rPr>
                <w:rFonts w:ascii="Tahoma" w:eastAsia="Times New Roman" w:hAnsi="Tahoma" w:cs="Tahoma"/>
                <w:b/>
                <w:bCs/>
                <w:sz w:val="20"/>
                <w:szCs w:val="20"/>
                <w:lang w:eastAsia="el-GR"/>
              </w:rPr>
            </w:pPr>
            <w:r w:rsidRPr="00D23046">
              <w:rPr>
                <w:rFonts w:ascii="Tahoma" w:eastAsia="Times New Roman" w:hAnsi="Tahoma" w:cs="Tahoma"/>
                <w:b/>
                <w:bCs/>
                <w:sz w:val="20"/>
                <w:szCs w:val="20"/>
                <w:lang w:eastAsia="el-GR"/>
              </w:rPr>
              <w:t>9.254.148</w:t>
            </w:r>
          </w:p>
        </w:tc>
        <w:tc>
          <w:tcPr>
            <w:tcW w:w="1240" w:type="dxa"/>
            <w:tcBorders>
              <w:top w:val="nil"/>
              <w:left w:val="nil"/>
              <w:bottom w:val="single" w:sz="4" w:space="0" w:color="auto"/>
              <w:right w:val="single" w:sz="4" w:space="0" w:color="auto"/>
            </w:tcBorders>
            <w:shd w:val="clear" w:color="auto" w:fill="auto"/>
            <w:noWrap/>
            <w:vAlign w:val="center"/>
            <w:hideMark/>
          </w:tcPr>
          <w:p w14:paraId="11A7E743" w14:textId="77777777" w:rsidR="009D3B5A" w:rsidRPr="00D23046" w:rsidRDefault="009D3B5A" w:rsidP="009D3B5A">
            <w:pPr>
              <w:spacing w:after="0" w:line="240" w:lineRule="auto"/>
              <w:jc w:val="right"/>
              <w:rPr>
                <w:rFonts w:ascii="Tahoma" w:eastAsia="Times New Roman" w:hAnsi="Tahoma" w:cs="Tahoma"/>
                <w:b/>
                <w:bCs/>
                <w:sz w:val="20"/>
                <w:szCs w:val="20"/>
                <w:lang w:eastAsia="el-GR"/>
              </w:rPr>
            </w:pPr>
            <w:r w:rsidRPr="00D23046">
              <w:rPr>
                <w:rFonts w:ascii="Tahoma" w:eastAsia="Times New Roman" w:hAnsi="Tahoma" w:cs="Tahoma"/>
                <w:b/>
                <w:bCs/>
                <w:sz w:val="20"/>
                <w:szCs w:val="20"/>
                <w:lang w:eastAsia="el-GR"/>
              </w:rPr>
              <w:t>7.518.439</w:t>
            </w:r>
          </w:p>
        </w:tc>
        <w:tc>
          <w:tcPr>
            <w:tcW w:w="1240" w:type="dxa"/>
            <w:tcBorders>
              <w:top w:val="nil"/>
              <w:left w:val="nil"/>
              <w:bottom w:val="single" w:sz="4" w:space="0" w:color="auto"/>
              <w:right w:val="single" w:sz="4" w:space="0" w:color="auto"/>
            </w:tcBorders>
            <w:shd w:val="clear" w:color="auto" w:fill="auto"/>
            <w:noWrap/>
            <w:vAlign w:val="center"/>
            <w:hideMark/>
          </w:tcPr>
          <w:p w14:paraId="715FAD75" w14:textId="77777777" w:rsidR="009D3B5A" w:rsidRPr="00D23046" w:rsidRDefault="009D3B5A" w:rsidP="009D3B5A">
            <w:pPr>
              <w:spacing w:after="0" w:line="240" w:lineRule="auto"/>
              <w:jc w:val="right"/>
              <w:rPr>
                <w:rFonts w:ascii="Tahoma" w:eastAsia="Times New Roman" w:hAnsi="Tahoma" w:cs="Tahoma"/>
                <w:b/>
                <w:bCs/>
                <w:sz w:val="20"/>
                <w:szCs w:val="20"/>
                <w:lang w:eastAsia="el-GR"/>
              </w:rPr>
            </w:pPr>
            <w:r w:rsidRPr="00D23046">
              <w:rPr>
                <w:rFonts w:ascii="Tahoma" w:eastAsia="Times New Roman" w:hAnsi="Tahoma" w:cs="Tahoma"/>
                <w:b/>
                <w:bCs/>
                <w:sz w:val="20"/>
                <w:szCs w:val="20"/>
                <w:lang w:eastAsia="el-GR"/>
              </w:rPr>
              <w:t>6.984.090</w:t>
            </w:r>
          </w:p>
        </w:tc>
        <w:tc>
          <w:tcPr>
            <w:tcW w:w="1240" w:type="dxa"/>
            <w:tcBorders>
              <w:top w:val="nil"/>
              <w:left w:val="nil"/>
              <w:bottom w:val="single" w:sz="4" w:space="0" w:color="auto"/>
              <w:right w:val="single" w:sz="4" w:space="0" w:color="auto"/>
            </w:tcBorders>
            <w:shd w:val="clear" w:color="auto" w:fill="auto"/>
            <w:noWrap/>
            <w:vAlign w:val="center"/>
            <w:hideMark/>
          </w:tcPr>
          <w:p w14:paraId="7E8E6393" w14:textId="77777777" w:rsidR="009D3B5A" w:rsidRPr="00D23046" w:rsidRDefault="009D3B5A" w:rsidP="009D3B5A">
            <w:pPr>
              <w:spacing w:after="0" w:line="240" w:lineRule="auto"/>
              <w:jc w:val="right"/>
              <w:rPr>
                <w:rFonts w:ascii="Tahoma" w:eastAsia="Times New Roman" w:hAnsi="Tahoma" w:cs="Tahoma"/>
                <w:b/>
                <w:bCs/>
                <w:sz w:val="20"/>
                <w:szCs w:val="20"/>
                <w:lang w:eastAsia="el-GR"/>
              </w:rPr>
            </w:pPr>
            <w:r w:rsidRPr="00D23046">
              <w:rPr>
                <w:rFonts w:ascii="Tahoma" w:eastAsia="Times New Roman" w:hAnsi="Tahoma" w:cs="Tahoma"/>
                <w:b/>
                <w:bCs/>
                <w:sz w:val="20"/>
                <w:szCs w:val="20"/>
                <w:lang w:eastAsia="el-GR"/>
              </w:rPr>
              <w:t>7.534.538</w:t>
            </w:r>
          </w:p>
        </w:tc>
      </w:tr>
      <w:tr w:rsidR="009D3B5A" w:rsidRPr="00D23046" w14:paraId="2033323D" w14:textId="77777777" w:rsidTr="009D3B5A">
        <w:trPr>
          <w:trHeight w:val="360"/>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05AD3C55" w14:textId="77777777" w:rsidR="009D3B5A" w:rsidRPr="00D23046" w:rsidRDefault="009D3B5A" w:rsidP="009D3B5A">
            <w:pPr>
              <w:spacing w:after="0" w:line="240" w:lineRule="auto"/>
              <w:rPr>
                <w:rFonts w:ascii="Tahoma" w:eastAsia="Times New Roman" w:hAnsi="Tahoma" w:cs="Tahoma"/>
                <w:sz w:val="20"/>
                <w:szCs w:val="20"/>
                <w:lang w:eastAsia="el-GR"/>
              </w:rPr>
            </w:pPr>
            <w:proofErr w:type="spellStart"/>
            <w:r w:rsidRPr="00D23046">
              <w:rPr>
                <w:rFonts w:ascii="Tahoma" w:eastAsia="Times New Roman" w:hAnsi="Tahoma" w:cs="Tahoma"/>
                <w:sz w:val="20"/>
                <w:szCs w:val="20"/>
                <w:lang w:eastAsia="el-GR"/>
              </w:rPr>
              <w:t>Έσοδ</w:t>
            </w:r>
            <w:proofErr w:type="spellEnd"/>
            <w:r w:rsidRPr="00D23046">
              <w:rPr>
                <w:rFonts w:ascii="Tahoma" w:eastAsia="Times New Roman" w:hAnsi="Tahoma" w:cs="Tahoma"/>
                <w:sz w:val="20"/>
                <w:szCs w:val="20"/>
                <w:lang w:eastAsia="el-GR"/>
              </w:rPr>
              <w:t>α π</w:t>
            </w:r>
            <w:proofErr w:type="spellStart"/>
            <w:r w:rsidRPr="00D23046">
              <w:rPr>
                <w:rFonts w:ascii="Tahoma" w:eastAsia="Times New Roman" w:hAnsi="Tahoma" w:cs="Tahoma"/>
                <w:sz w:val="20"/>
                <w:szCs w:val="20"/>
                <w:lang w:eastAsia="el-GR"/>
              </w:rPr>
              <w:t>ρομηθειών</w:t>
            </w:r>
            <w:proofErr w:type="spellEnd"/>
          </w:p>
        </w:tc>
        <w:tc>
          <w:tcPr>
            <w:tcW w:w="1240" w:type="dxa"/>
            <w:tcBorders>
              <w:top w:val="nil"/>
              <w:left w:val="nil"/>
              <w:bottom w:val="single" w:sz="4" w:space="0" w:color="auto"/>
              <w:right w:val="single" w:sz="4" w:space="0" w:color="auto"/>
            </w:tcBorders>
            <w:shd w:val="clear" w:color="auto" w:fill="auto"/>
            <w:noWrap/>
            <w:vAlign w:val="center"/>
            <w:hideMark/>
          </w:tcPr>
          <w:p w14:paraId="61F04113" w14:textId="77777777" w:rsidR="009D3B5A" w:rsidRPr="00D23046" w:rsidRDefault="009D3B5A" w:rsidP="009D3B5A">
            <w:pPr>
              <w:spacing w:after="0" w:line="240" w:lineRule="auto"/>
              <w:jc w:val="right"/>
              <w:rPr>
                <w:rFonts w:ascii="Tahoma" w:eastAsia="Times New Roman" w:hAnsi="Tahoma" w:cs="Tahoma"/>
                <w:sz w:val="20"/>
                <w:szCs w:val="20"/>
                <w:lang w:eastAsia="el-GR"/>
              </w:rPr>
            </w:pPr>
            <w:r w:rsidRPr="00D23046">
              <w:rPr>
                <w:rFonts w:ascii="Tahoma" w:eastAsia="Times New Roman" w:hAnsi="Tahoma" w:cs="Tahoma"/>
                <w:sz w:val="20"/>
                <w:szCs w:val="20"/>
                <w:lang w:eastAsia="el-GR"/>
              </w:rPr>
              <w:t>926.070</w:t>
            </w:r>
          </w:p>
        </w:tc>
        <w:tc>
          <w:tcPr>
            <w:tcW w:w="1240" w:type="dxa"/>
            <w:tcBorders>
              <w:top w:val="nil"/>
              <w:left w:val="nil"/>
              <w:bottom w:val="single" w:sz="4" w:space="0" w:color="auto"/>
              <w:right w:val="single" w:sz="4" w:space="0" w:color="auto"/>
            </w:tcBorders>
            <w:shd w:val="clear" w:color="auto" w:fill="auto"/>
            <w:noWrap/>
            <w:vAlign w:val="center"/>
            <w:hideMark/>
          </w:tcPr>
          <w:p w14:paraId="58FD5895" w14:textId="77777777" w:rsidR="009D3B5A" w:rsidRPr="00D23046" w:rsidRDefault="009D3B5A" w:rsidP="009D3B5A">
            <w:pPr>
              <w:spacing w:after="0" w:line="240" w:lineRule="auto"/>
              <w:jc w:val="right"/>
              <w:rPr>
                <w:rFonts w:ascii="Tahoma" w:eastAsia="Times New Roman" w:hAnsi="Tahoma" w:cs="Tahoma"/>
                <w:sz w:val="20"/>
                <w:szCs w:val="20"/>
                <w:lang w:eastAsia="el-GR"/>
              </w:rPr>
            </w:pPr>
            <w:r w:rsidRPr="00D23046">
              <w:rPr>
                <w:rFonts w:ascii="Tahoma" w:eastAsia="Times New Roman" w:hAnsi="Tahoma" w:cs="Tahoma"/>
                <w:sz w:val="20"/>
                <w:szCs w:val="20"/>
                <w:lang w:eastAsia="el-GR"/>
              </w:rPr>
              <w:t>1.004.562</w:t>
            </w:r>
          </w:p>
        </w:tc>
        <w:tc>
          <w:tcPr>
            <w:tcW w:w="1240" w:type="dxa"/>
            <w:tcBorders>
              <w:top w:val="nil"/>
              <w:left w:val="nil"/>
              <w:bottom w:val="single" w:sz="4" w:space="0" w:color="auto"/>
              <w:right w:val="single" w:sz="4" w:space="0" w:color="auto"/>
            </w:tcBorders>
            <w:shd w:val="clear" w:color="auto" w:fill="auto"/>
            <w:noWrap/>
            <w:vAlign w:val="center"/>
            <w:hideMark/>
          </w:tcPr>
          <w:p w14:paraId="0A3C2E70" w14:textId="77777777" w:rsidR="009D3B5A" w:rsidRPr="00D23046" w:rsidRDefault="009D3B5A" w:rsidP="009D3B5A">
            <w:pPr>
              <w:spacing w:after="0" w:line="240" w:lineRule="auto"/>
              <w:jc w:val="right"/>
              <w:rPr>
                <w:rFonts w:ascii="Tahoma" w:eastAsia="Times New Roman" w:hAnsi="Tahoma" w:cs="Tahoma"/>
                <w:sz w:val="20"/>
                <w:szCs w:val="20"/>
                <w:lang w:eastAsia="el-GR"/>
              </w:rPr>
            </w:pPr>
            <w:r w:rsidRPr="00D23046">
              <w:rPr>
                <w:rFonts w:ascii="Tahoma" w:eastAsia="Times New Roman" w:hAnsi="Tahoma" w:cs="Tahoma"/>
                <w:sz w:val="20"/>
                <w:szCs w:val="20"/>
                <w:lang w:eastAsia="el-GR"/>
              </w:rPr>
              <w:t>1.302.479</w:t>
            </w:r>
          </w:p>
        </w:tc>
        <w:tc>
          <w:tcPr>
            <w:tcW w:w="1240" w:type="dxa"/>
            <w:tcBorders>
              <w:top w:val="nil"/>
              <w:left w:val="nil"/>
              <w:bottom w:val="single" w:sz="4" w:space="0" w:color="auto"/>
              <w:right w:val="single" w:sz="4" w:space="0" w:color="auto"/>
            </w:tcBorders>
            <w:shd w:val="clear" w:color="auto" w:fill="auto"/>
            <w:noWrap/>
            <w:vAlign w:val="center"/>
            <w:hideMark/>
          </w:tcPr>
          <w:p w14:paraId="41CE3E27" w14:textId="77777777" w:rsidR="009D3B5A" w:rsidRPr="00D23046" w:rsidRDefault="009D3B5A" w:rsidP="009D3B5A">
            <w:pPr>
              <w:spacing w:after="0" w:line="240" w:lineRule="auto"/>
              <w:jc w:val="right"/>
              <w:rPr>
                <w:rFonts w:ascii="Tahoma" w:eastAsia="Times New Roman" w:hAnsi="Tahoma" w:cs="Tahoma"/>
                <w:sz w:val="20"/>
                <w:szCs w:val="20"/>
                <w:lang w:eastAsia="el-GR"/>
              </w:rPr>
            </w:pPr>
            <w:r w:rsidRPr="00D23046">
              <w:rPr>
                <w:rFonts w:ascii="Tahoma" w:eastAsia="Times New Roman" w:hAnsi="Tahoma" w:cs="Tahoma"/>
                <w:sz w:val="20"/>
                <w:szCs w:val="20"/>
                <w:lang w:eastAsia="el-GR"/>
              </w:rPr>
              <w:t>1.509.579</w:t>
            </w:r>
          </w:p>
        </w:tc>
      </w:tr>
      <w:tr w:rsidR="009D3B5A" w:rsidRPr="00D23046" w14:paraId="1A21548D" w14:textId="77777777" w:rsidTr="009D3B5A">
        <w:trPr>
          <w:trHeight w:val="360"/>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671B205B" w14:textId="77777777" w:rsidR="009D3B5A" w:rsidRPr="00D23046" w:rsidRDefault="009D3B5A" w:rsidP="009D3B5A">
            <w:pPr>
              <w:spacing w:after="0" w:line="240" w:lineRule="auto"/>
              <w:rPr>
                <w:rFonts w:ascii="Tahoma" w:eastAsia="Times New Roman" w:hAnsi="Tahoma" w:cs="Tahoma"/>
                <w:sz w:val="20"/>
                <w:szCs w:val="20"/>
                <w:lang w:eastAsia="el-GR"/>
              </w:rPr>
            </w:pPr>
            <w:proofErr w:type="spellStart"/>
            <w:r w:rsidRPr="00D23046">
              <w:rPr>
                <w:rFonts w:ascii="Tahoma" w:eastAsia="Times New Roman" w:hAnsi="Tahoma" w:cs="Tahoma"/>
                <w:sz w:val="20"/>
                <w:szCs w:val="20"/>
                <w:lang w:eastAsia="el-GR"/>
              </w:rPr>
              <w:t>Έξοδ</w:t>
            </w:r>
            <w:proofErr w:type="spellEnd"/>
            <w:r w:rsidRPr="00D23046">
              <w:rPr>
                <w:rFonts w:ascii="Tahoma" w:eastAsia="Times New Roman" w:hAnsi="Tahoma" w:cs="Tahoma"/>
                <w:sz w:val="20"/>
                <w:szCs w:val="20"/>
                <w:lang w:eastAsia="el-GR"/>
              </w:rPr>
              <w:t>α π</w:t>
            </w:r>
            <w:proofErr w:type="spellStart"/>
            <w:r w:rsidRPr="00D23046">
              <w:rPr>
                <w:rFonts w:ascii="Tahoma" w:eastAsia="Times New Roman" w:hAnsi="Tahoma" w:cs="Tahoma"/>
                <w:sz w:val="20"/>
                <w:szCs w:val="20"/>
                <w:lang w:eastAsia="el-GR"/>
              </w:rPr>
              <w:t>ρομηθειών</w:t>
            </w:r>
            <w:proofErr w:type="spellEnd"/>
          </w:p>
        </w:tc>
        <w:tc>
          <w:tcPr>
            <w:tcW w:w="1240" w:type="dxa"/>
            <w:tcBorders>
              <w:top w:val="nil"/>
              <w:left w:val="nil"/>
              <w:bottom w:val="single" w:sz="4" w:space="0" w:color="auto"/>
              <w:right w:val="single" w:sz="4" w:space="0" w:color="auto"/>
            </w:tcBorders>
            <w:shd w:val="clear" w:color="auto" w:fill="auto"/>
            <w:noWrap/>
            <w:vAlign w:val="center"/>
            <w:hideMark/>
          </w:tcPr>
          <w:p w14:paraId="16B526DE" w14:textId="77777777" w:rsidR="009D3B5A" w:rsidRPr="00D23046" w:rsidRDefault="009D3B5A" w:rsidP="009D3B5A">
            <w:pPr>
              <w:spacing w:after="0" w:line="240" w:lineRule="auto"/>
              <w:jc w:val="right"/>
              <w:rPr>
                <w:rFonts w:ascii="Tahoma" w:eastAsia="Times New Roman" w:hAnsi="Tahoma" w:cs="Tahoma"/>
                <w:sz w:val="20"/>
                <w:szCs w:val="20"/>
                <w:lang w:eastAsia="el-GR"/>
              </w:rPr>
            </w:pPr>
            <w:r w:rsidRPr="00D23046">
              <w:rPr>
                <w:rFonts w:ascii="Tahoma" w:eastAsia="Times New Roman" w:hAnsi="Tahoma" w:cs="Tahoma"/>
                <w:sz w:val="20"/>
                <w:szCs w:val="20"/>
                <w:lang w:eastAsia="el-GR"/>
              </w:rPr>
              <w:t>-122.737</w:t>
            </w:r>
          </w:p>
        </w:tc>
        <w:tc>
          <w:tcPr>
            <w:tcW w:w="1240" w:type="dxa"/>
            <w:tcBorders>
              <w:top w:val="nil"/>
              <w:left w:val="nil"/>
              <w:bottom w:val="single" w:sz="4" w:space="0" w:color="auto"/>
              <w:right w:val="single" w:sz="4" w:space="0" w:color="auto"/>
            </w:tcBorders>
            <w:shd w:val="clear" w:color="auto" w:fill="auto"/>
            <w:noWrap/>
            <w:vAlign w:val="center"/>
            <w:hideMark/>
          </w:tcPr>
          <w:p w14:paraId="3EA0C407" w14:textId="77777777" w:rsidR="009D3B5A" w:rsidRPr="00D23046" w:rsidRDefault="009D3B5A" w:rsidP="009D3B5A">
            <w:pPr>
              <w:spacing w:after="0" w:line="240" w:lineRule="auto"/>
              <w:jc w:val="right"/>
              <w:rPr>
                <w:rFonts w:ascii="Tahoma" w:eastAsia="Times New Roman" w:hAnsi="Tahoma" w:cs="Tahoma"/>
                <w:sz w:val="20"/>
                <w:szCs w:val="20"/>
                <w:lang w:eastAsia="el-GR"/>
              </w:rPr>
            </w:pPr>
            <w:r w:rsidRPr="00D23046">
              <w:rPr>
                <w:rFonts w:ascii="Tahoma" w:eastAsia="Times New Roman" w:hAnsi="Tahoma" w:cs="Tahoma"/>
                <w:sz w:val="20"/>
                <w:szCs w:val="20"/>
                <w:lang w:eastAsia="el-GR"/>
              </w:rPr>
              <w:t>-107.440</w:t>
            </w:r>
          </w:p>
        </w:tc>
        <w:tc>
          <w:tcPr>
            <w:tcW w:w="1240" w:type="dxa"/>
            <w:tcBorders>
              <w:top w:val="nil"/>
              <w:left w:val="nil"/>
              <w:bottom w:val="single" w:sz="4" w:space="0" w:color="auto"/>
              <w:right w:val="single" w:sz="4" w:space="0" w:color="auto"/>
            </w:tcBorders>
            <w:shd w:val="clear" w:color="auto" w:fill="auto"/>
            <w:noWrap/>
            <w:vAlign w:val="center"/>
            <w:hideMark/>
          </w:tcPr>
          <w:p w14:paraId="388D0EEB" w14:textId="77777777" w:rsidR="009D3B5A" w:rsidRPr="00D23046" w:rsidRDefault="009D3B5A" w:rsidP="009D3B5A">
            <w:pPr>
              <w:spacing w:after="0" w:line="240" w:lineRule="auto"/>
              <w:jc w:val="right"/>
              <w:rPr>
                <w:rFonts w:ascii="Tahoma" w:eastAsia="Times New Roman" w:hAnsi="Tahoma" w:cs="Tahoma"/>
                <w:sz w:val="20"/>
                <w:szCs w:val="20"/>
                <w:lang w:eastAsia="el-GR"/>
              </w:rPr>
            </w:pPr>
            <w:r w:rsidRPr="00D23046">
              <w:rPr>
                <w:rFonts w:ascii="Tahoma" w:eastAsia="Times New Roman" w:hAnsi="Tahoma" w:cs="Tahoma"/>
                <w:sz w:val="20"/>
                <w:szCs w:val="20"/>
                <w:lang w:eastAsia="el-GR"/>
              </w:rPr>
              <w:t>-315.636</w:t>
            </w:r>
          </w:p>
        </w:tc>
        <w:tc>
          <w:tcPr>
            <w:tcW w:w="1240" w:type="dxa"/>
            <w:tcBorders>
              <w:top w:val="nil"/>
              <w:left w:val="nil"/>
              <w:bottom w:val="single" w:sz="4" w:space="0" w:color="auto"/>
              <w:right w:val="single" w:sz="4" w:space="0" w:color="auto"/>
            </w:tcBorders>
            <w:shd w:val="clear" w:color="auto" w:fill="auto"/>
            <w:noWrap/>
            <w:vAlign w:val="center"/>
            <w:hideMark/>
          </w:tcPr>
          <w:p w14:paraId="16822710" w14:textId="77777777" w:rsidR="009D3B5A" w:rsidRPr="00D23046" w:rsidRDefault="009D3B5A" w:rsidP="009D3B5A">
            <w:pPr>
              <w:spacing w:after="0" w:line="240" w:lineRule="auto"/>
              <w:jc w:val="right"/>
              <w:rPr>
                <w:rFonts w:ascii="Tahoma" w:eastAsia="Times New Roman" w:hAnsi="Tahoma" w:cs="Tahoma"/>
                <w:sz w:val="20"/>
                <w:szCs w:val="20"/>
                <w:lang w:eastAsia="el-GR"/>
              </w:rPr>
            </w:pPr>
            <w:r w:rsidRPr="00D23046">
              <w:rPr>
                <w:rFonts w:ascii="Tahoma" w:eastAsia="Times New Roman" w:hAnsi="Tahoma" w:cs="Tahoma"/>
                <w:sz w:val="20"/>
                <w:szCs w:val="20"/>
                <w:lang w:eastAsia="el-GR"/>
              </w:rPr>
              <w:t>-459.905</w:t>
            </w:r>
          </w:p>
        </w:tc>
      </w:tr>
      <w:tr w:rsidR="009D3B5A" w:rsidRPr="00D23046" w14:paraId="0797B4FE" w14:textId="77777777" w:rsidTr="009D3B5A">
        <w:trPr>
          <w:trHeight w:val="360"/>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0BB5607F" w14:textId="77777777" w:rsidR="009D3B5A" w:rsidRPr="00D23046" w:rsidRDefault="009D3B5A" w:rsidP="009D3B5A">
            <w:pPr>
              <w:spacing w:after="0" w:line="240" w:lineRule="auto"/>
              <w:rPr>
                <w:rFonts w:ascii="Tahoma" w:eastAsia="Times New Roman" w:hAnsi="Tahoma" w:cs="Tahoma"/>
                <w:b/>
                <w:bCs/>
                <w:sz w:val="20"/>
                <w:szCs w:val="20"/>
                <w:lang w:eastAsia="el-GR"/>
              </w:rPr>
            </w:pPr>
            <w:r w:rsidRPr="00D23046">
              <w:rPr>
                <w:rFonts w:ascii="Tahoma" w:eastAsia="Times New Roman" w:hAnsi="Tahoma" w:cs="Tahoma"/>
                <w:b/>
                <w:bCs/>
                <w:sz w:val="20"/>
                <w:szCs w:val="20"/>
                <w:lang w:eastAsia="el-GR"/>
              </w:rPr>
              <w:lastRenderedPageBreak/>
              <w:t>ΚΑΘΑΡΑ ΕΣΟΔΑ ΠΡΟΜΗΘΕΙΩΝ</w:t>
            </w:r>
          </w:p>
        </w:tc>
        <w:tc>
          <w:tcPr>
            <w:tcW w:w="1240" w:type="dxa"/>
            <w:tcBorders>
              <w:top w:val="nil"/>
              <w:left w:val="nil"/>
              <w:bottom w:val="single" w:sz="4" w:space="0" w:color="auto"/>
              <w:right w:val="single" w:sz="4" w:space="0" w:color="auto"/>
            </w:tcBorders>
            <w:shd w:val="clear" w:color="auto" w:fill="auto"/>
            <w:noWrap/>
            <w:vAlign w:val="center"/>
            <w:hideMark/>
          </w:tcPr>
          <w:p w14:paraId="48438F40" w14:textId="77777777" w:rsidR="009D3B5A" w:rsidRPr="00D23046" w:rsidRDefault="009D3B5A" w:rsidP="009D3B5A">
            <w:pPr>
              <w:spacing w:after="0" w:line="240" w:lineRule="auto"/>
              <w:jc w:val="right"/>
              <w:rPr>
                <w:rFonts w:ascii="Tahoma" w:eastAsia="Times New Roman" w:hAnsi="Tahoma" w:cs="Tahoma"/>
                <w:b/>
                <w:bCs/>
                <w:sz w:val="20"/>
                <w:szCs w:val="20"/>
                <w:lang w:eastAsia="el-GR"/>
              </w:rPr>
            </w:pPr>
            <w:r w:rsidRPr="00D23046">
              <w:rPr>
                <w:rFonts w:ascii="Tahoma" w:eastAsia="Times New Roman" w:hAnsi="Tahoma" w:cs="Tahoma"/>
                <w:b/>
                <w:bCs/>
                <w:sz w:val="20"/>
                <w:szCs w:val="20"/>
                <w:lang w:eastAsia="el-GR"/>
              </w:rPr>
              <w:t>803.333</w:t>
            </w:r>
          </w:p>
        </w:tc>
        <w:tc>
          <w:tcPr>
            <w:tcW w:w="1240" w:type="dxa"/>
            <w:tcBorders>
              <w:top w:val="nil"/>
              <w:left w:val="nil"/>
              <w:bottom w:val="single" w:sz="4" w:space="0" w:color="auto"/>
              <w:right w:val="single" w:sz="4" w:space="0" w:color="auto"/>
            </w:tcBorders>
            <w:shd w:val="clear" w:color="auto" w:fill="auto"/>
            <w:noWrap/>
            <w:vAlign w:val="center"/>
            <w:hideMark/>
          </w:tcPr>
          <w:p w14:paraId="62DB5D0B" w14:textId="77777777" w:rsidR="009D3B5A" w:rsidRPr="00D23046" w:rsidRDefault="009D3B5A" w:rsidP="009D3B5A">
            <w:pPr>
              <w:spacing w:after="0" w:line="240" w:lineRule="auto"/>
              <w:jc w:val="right"/>
              <w:rPr>
                <w:rFonts w:ascii="Tahoma" w:eastAsia="Times New Roman" w:hAnsi="Tahoma" w:cs="Tahoma"/>
                <w:b/>
                <w:bCs/>
                <w:sz w:val="20"/>
                <w:szCs w:val="20"/>
                <w:lang w:eastAsia="el-GR"/>
              </w:rPr>
            </w:pPr>
            <w:r w:rsidRPr="00D23046">
              <w:rPr>
                <w:rFonts w:ascii="Tahoma" w:eastAsia="Times New Roman" w:hAnsi="Tahoma" w:cs="Tahoma"/>
                <w:b/>
                <w:bCs/>
                <w:sz w:val="20"/>
                <w:szCs w:val="20"/>
                <w:lang w:eastAsia="el-GR"/>
              </w:rPr>
              <w:t>897.122</w:t>
            </w:r>
          </w:p>
        </w:tc>
        <w:tc>
          <w:tcPr>
            <w:tcW w:w="1240" w:type="dxa"/>
            <w:tcBorders>
              <w:top w:val="nil"/>
              <w:left w:val="nil"/>
              <w:bottom w:val="single" w:sz="4" w:space="0" w:color="auto"/>
              <w:right w:val="single" w:sz="4" w:space="0" w:color="auto"/>
            </w:tcBorders>
            <w:shd w:val="clear" w:color="auto" w:fill="auto"/>
            <w:noWrap/>
            <w:vAlign w:val="center"/>
            <w:hideMark/>
          </w:tcPr>
          <w:p w14:paraId="148D6430" w14:textId="77777777" w:rsidR="009D3B5A" w:rsidRPr="00D23046" w:rsidRDefault="009D3B5A" w:rsidP="009D3B5A">
            <w:pPr>
              <w:spacing w:after="0" w:line="240" w:lineRule="auto"/>
              <w:jc w:val="right"/>
              <w:rPr>
                <w:rFonts w:ascii="Tahoma" w:eastAsia="Times New Roman" w:hAnsi="Tahoma" w:cs="Tahoma"/>
                <w:b/>
                <w:bCs/>
                <w:sz w:val="20"/>
                <w:szCs w:val="20"/>
                <w:lang w:eastAsia="el-GR"/>
              </w:rPr>
            </w:pPr>
            <w:r w:rsidRPr="00D23046">
              <w:rPr>
                <w:rFonts w:ascii="Tahoma" w:eastAsia="Times New Roman" w:hAnsi="Tahoma" w:cs="Tahoma"/>
                <w:b/>
                <w:bCs/>
                <w:sz w:val="20"/>
                <w:szCs w:val="20"/>
                <w:lang w:eastAsia="el-GR"/>
              </w:rPr>
              <w:t>986.843</w:t>
            </w:r>
          </w:p>
        </w:tc>
        <w:tc>
          <w:tcPr>
            <w:tcW w:w="1240" w:type="dxa"/>
            <w:tcBorders>
              <w:top w:val="nil"/>
              <w:left w:val="nil"/>
              <w:bottom w:val="single" w:sz="4" w:space="0" w:color="auto"/>
              <w:right w:val="single" w:sz="4" w:space="0" w:color="auto"/>
            </w:tcBorders>
            <w:shd w:val="clear" w:color="auto" w:fill="auto"/>
            <w:noWrap/>
            <w:vAlign w:val="center"/>
            <w:hideMark/>
          </w:tcPr>
          <w:p w14:paraId="0F493C37" w14:textId="77777777" w:rsidR="009D3B5A" w:rsidRPr="00D23046" w:rsidRDefault="009D3B5A" w:rsidP="009D3B5A">
            <w:pPr>
              <w:spacing w:after="0" w:line="240" w:lineRule="auto"/>
              <w:jc w:val="right"/>
              <w:rPr>
                <w:rFonts w:ascii="Tahoma" w:eastAsia="Times New Roman" w:hAnsi="Tahoma" w:cs="Tahoma"/>
                <w:b/>
                <w:bCs/>
                <w:sz w:val="20"/>
                <w:szCs w:val="20"/>
                <w:lang w:eastAsia="el-GR"/>
              </w:rPr>
            </w:pPr>
            <w:r w:rsidRPr="00D23046">
              <w:rPr>
                <w:rFonts w:ascii="Tahoma" w:eastAsia="Times New Roman" w:hAnsi="Tahoma" w:cs="Tahoma"/>
                <w:b/>
                <w:bCs/>
                <w:sz w:val="20"/>
                <w:szCs w:val="20"/>
                <w:lang w:eastAsia="el-GR"/>
              </w:rPr>
              <w:t>1.049.674</w:t>
            </w:r>
          </w:p>
        </w:tc>
      </w:tr>
      <w:tr w:rsidR="009D3B5A" w:rsidRPr="00D23046" w14:paraId="0933C739" w14:textId="77777777" w:rsidTr="009D3B5A">
        <w:trPr>
          <w:trHeight w:val="360"/>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620731CA" w14:textId="77777777" w:rsidR="009D3B5A" w:rsidRPr="00D23046" w:rsidRDefault="009D3B5A" w:rsidP="009D3B5A">
            <w:pPr>
              <w:spacing w:after="0" w:line="240" w:lineRule="auto"/>
              <w:rPr>
                <w:rFonts w:ascii="Tahoma" w:eastAsia="Times New Roman" w:hAnsi="Tahoma" w:cs="Tahoma"/>
                <w:sz w:val="20"/>
                <w:szCs w:val="20"/>
                <w:lang w:eastAsia="el-GR"/>
              </w:rPr>
            </w:pPr>
            <w:proofErr w:type="spellStart"/>
            <w:r w:rsidRPr="00D23046">
              <w:rPr>
                <w:rFonts w:ascii="Tahoma" w:eastAsia="Times New Roman" w:hAnsi="Tahoma" w:cs="Tahoma"/>
                <w:sz w:val="20"/>
                <w:szCs w:val="20"/>
                <w:lang w:eastAsia="el-GR"/>
              </w:rPr>
              <w:t>Λοι</w:t>
            </w:r>
            <w:proofErr w:type="spellEnd"/>
            <w:r w:rsidRPr="00D23046">
              <w:rPr>
                <w:rFonts w:ascii="Tahoma" w:eastAsia="Times New Roman" w:hAnsi="Tahoma" w:cs="Tahoma"/>
                <w:sz w:val="20"/>
                <w:szCs w:val="20"/>
                <w:lang w:eastAsia="el-GR"/>
              </w:rPr>
              <w:t xml:space="preserve">πά </w:t>
            </w:r>
            <w:proofErr w:type="spellStart"/>
            <w:r w:rsidRPr="00D23046">
              <w:rPr>
                <w:rFonts w:ascii="Tahoma" w:eastAsia="Times New Roman" w:hAnsi="Tahoma" w:cs="Tahoma"/>
                <w:sz w:val="20"/>
                <w:szCs w:val="20"/>
                <w:lang w:eastAsia="el-GR"/>
              </w:rPr>
              <w:t>έσοδ</w:t>
            </w:r>
            <w:proofErr w:type="spellEnd"/>
            <w:r w:rsidRPr="00D23046">
              <w:rPr>
                <w:rFonts w:ascii="Tahoma" w:eastAsia="Times New Roman" w:hAnsi="Tahoma" w:cs="Tahoma"/>
                <w:sz w:val="20"/>
                <w:szCs w:val="20"/>
                <w:lang w:eastAsia="el-GR"/>
              </w:rPr>
              <w:t xml:space="preserve">α - </w:t>
            </w:r>
            <w:proofErr w:type="spellStart"/>
            <w:r w:rsidRPr="00D23046">
              <w:rPr>
                <w:rFonts w:ascii="Tahoma" w:eastAsia="Times New Roman" w:hAnsi="Tahoma" w:cs="Tahoma"/>
                <w:sz w:val="20"/>
                <w:szCs w:val="20"/>
                <w:lang w:eastAsia="el-GR"/>
              </w:rPr>
              <w:t>έξοδ</w:t>
            </w:r>
            <w:proofErr w:type="spellEnd"/>
            <w:r w:rsidRPr="00D23046">
              <w:rPr>
                <w:rFonts w:ascii="Tahoma" w:eastAsia="Times New Roman" w:hAnsi="Tahoma" w:cs="Tahoma"/>
                <w:sz w:val="20"/>
                <w:szCs w:val="20"/>
                <w:lang w:eastAsia="el-GR"/>
              </w:rPr>
              <w:t>α</w:t>
            </w:r>
          </w:p>
        </w:tc>
        <w:tc>
          <w:tcPr>
            <w:tcW w:w="1240" w:type="dxa"/>
            <w:tcBorders>
              <w:top w:val="nil"/>
              <w:left w:val="nil"/>
              <w:bottom w:val="single" w:sz="4" w:space="0" w:color="auto"/>
              <w:right w:val="single" w:sz="4" w:space="0" w:color="auto"/>
            </w:tcBorders>
            <w:shd w:val="clear" w:color="auto" w:fill="auto"/>
            <w:noWrap/>
            <w:vAlign w:val="center"/>
            <w:hideMark/>
          </w:tcPr>
          <w:p w14:paraId="490DF118" w14:textId="77777777" w:rsidR="009D3B5A" w:rsidRPr="00D23046" w:rsidRDefault="009D3B5A" w:rsidP="009D3B5A">
            <w:pPr>
              <w:spacing w:after="0" w:line="240" w:lineRule="auto"/>
              <w:jc w:val="right"/>
              <w:rPr>
                <w:rFonts w:ascii="Tahoma" w:eastAsia="Times New Roman" w:hAnsi="Tahoma" w:cs="Tahoma"/>
                <w:sz w:val="20"/>
                <w:szCs w:val="20"/>
                <w:lang w:eastAsia="el-GR"/>
              </w:rPr>
            </w:pPr>
            <w:r w:rsidRPr="00D23046">
              <w:rPr>
                <w:rFonts w:ascii="Tahoma" w:eastAsia="Times New Roman" w:hAnsi="Tahoma" w:cs="Tahoma"/>
                <w:sz w:val="20"/>
                <w:szCs w:val="20"/>
                <w:lang w:eastAsia="el-GR"/>
              </w:rPr>
              <w:t>337.189</w:t>
            </w:r>
          </w:p>
        </w:tc>
        <w:tc>
          <w:tcPr>
            <w:tcW w:w="1240" w:type="dxa"/>
            <w:tcBorders>
              <w:top w:val="nil"/>
              <w:left w:val="nil"/>
              <w:bottom w:val="single" w:sz="4" w:space="0" w:color="auto"/>
              <w:right w:val="single" w:sz="4" w:space="0" w:color="auto"/>
            </w:tcBorders>
            <w:shd w:val="clear" w:color="auto" w:fill="auto"/>
            <w:noWrap/>
            <w:vAlign w:val="center"/>
            <w:hideMark/>
          </w:tcPr>
          <w:p w14:paraId="36E6EFF9" w14:textId="77777777" w:rsidR="009D3B5A" w:rsidRPr="00D23046" w:rsidRDefault="009D3B5A" w:rsidP="009D3B5A">
            <w:pPr>
              <w:spacing w:after="0" w:line="240" w:lineRule="auto"/>
              <w:jc w:val="right"/>
              <w:rPr>
                <w:rFonts w:ascii="Tahoma" w:eastAsia="Times New Roman" w:hAnsi="Tahoma" w:cs="Tahoma"/>
                <w:sz w:val="20"/>
                <w:szCs w:val="20"/>
                <w:lang w:eastAsia="el-GR"/>
              </w:rPr>
            </w:pPr>
            <w:r w:rsidRPr="00D23046">
              <w:rPr>
                <w:rFonts w:ascii="Tahoma" w:eastAsia="Times New Roman" w:hAnsi="Tahoma" w:cs="Tahoma"/>
                <w:sz w:val="20"/>
                <w:szCs w:val="20"/>
                <w:lang w:eastAsia="el-GR"/>
              </w:rPr>
              <w:t>113.793</w:t>
            </w:r>
          </w:p>
        </w:tc>
        <w:tc>
          <w:tcPr>
            <w:tcW w:w="1240" w:type="dxa"/>
            <w:tcBorders>
              <w:top w:val="nil"/>
              <w:left w:val="nil"/>
              <w:bottom w:val="single" w:sz="4" w:space="0" w:color="auto"/>
              <w:right w:val="single" w:sz="4" w:space="0" w:color="auto"/>
            </w:tcBorders>
            <w:shd w:val="clear" w:color="auto" w:fill="auto"/>
            <w:noWrap/>
            <w:vAlign w:val="center"/>
            <w:hideMark/>
          </w:tcPr>
          <w:p w14:paraId="5490FD85" w14:textId="77777777" w:rsidR="009D3B5A" w:rsidRPr="00D23046" w:rsidRDefault="009D3B5A" w:rsidP="009D3B5A">
            <w:pPr>
              <w:spacing w:after="0" w:line="240" w:lineRule="auto"/>
              <w:jc w:val="right"/>
              <w:rPr>
                <w:rFonts w:ascii="Tahoma" w:eastAsia="Times New Roman" w:hAnsi="Tahoma" w:cs="Tahoma"/>
                <w:sz w:val="20"/>
                <w:szCs w:val="20"/>
                <w:lang w:eastAsia="el-GR"/>
              </w:rPr>
            </w:pPr>
            <w:r w:rsidRPr="00D23046">
              <w:rPr>
                <w:rFonts w:ascii="Tahoma" w:eastAsia="Times New Roman" w:hAnsi="Tahoma" w:cs="Tahoma"/>
                <w:sz w:val="20"/>
                <w:szCs w:val="20"/>
                <w:lang w:eastAsia="el-GR"/>
              </w:rPr>
              <w:t>342.696</w:t>
            </w:r>
          </w:p>
        </w:tc>
        <w:tc>
          <w:tcPr>
            <w:tcW w:w="1240" w:type="dxa"/>
            <w:tcBorders>
              <w:top w:val="nil"/>
              <w:left w:val="nil"/>
              <w:bottom w:val="single" w:sz="4" w:space="0" w:color="auto"/>
              <w:right w:val="single" w:sz="4" w:space="0" w:color="auto"/>
            </w:tcBorders>
            <w:shd w:val="clear" w:color="auto" w:fill="auto"/>
            <w:noWrap/>
            <w:vAlign w:val="center"/>
            <w:hideMark/>
          </w:tcPr>
          <w:p w14:paraId="595ABDE4" w14:textId="77777777" w:rsidR="009D3B5A" w:rsidRPr="00D23046" w:rsidRDefault="009D3B5A" w:rsidP="009D3B5A">
            <w:pPr>
              <w:spacing w:after="0" w:line="240" w:lineRule="auto"/>
              <w:jc w:val="right"/>
              <w:rPr>
                <w:rFonts w:ascii="Tahoma" w:eastAsia="Times New Roman" w:hAnsi="Tahoma" w:cs="Tahoma"/>
                <w:sz w:val="20"/>
                <w:szCs w:val="20"/>
                <w:lang w:eastAsia="el-GR"/>
              </w:rPr>
            </w:pPr>
            <w:r w:rsidRPr="00D23046">
              <w:rPr>
                <w:rFonts w:ascii="Tahoma" w:eastAsia="Times New Roman" w:hAnsi="Tahoma" w:cs="Tahoma"/>
                <w:sz w:val="20"/>
                <w:szCs w:val="20"/>
                <w:lang w:eastAsia="el-GR"/>
              </w:rPr>
              <w:t>20.056</w:t>
            </w:r>
          </w:p>
        </w:tc>
      </w:tr>
      <w:tr w:rsidR="009D3B5A" w:rsidRPr="00D23046" w14:paraId="7F74E29C" w14:textId="77777777" w:rsidTr="009D3B5A">
        <w:trPr>
          <w:trHeight w:val="360"/>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226E7EB2" w14:textId="77777777" w:rsidR="009D3B5A" w:rsidRPr="00D23046" w:rsidRDefault="009D3B5A" w:rsidP="009D3B5A">
            <w:pPr>
              <w:spacing w:after="0" w:line="240" w:lineRule="auto"/>
              <w:rPr>
                <w:rFonts w:ascii="Tahoma" w:eastAsia="Times New Roman" w:hAnsi="Tahoma" w:cs="Tahoma"/>
                <w:b/>
                <w:bCs/>
                <w:sz w:val="20"/>
                <w:szCs w:val="20"/>
                <w:lang w:eastAsia="el-GR"/>
              </w:rPr>
            </w:pPr>
            <w:r w:rsidRPr="00D23046">
              <w:rPr>
                <w:rFonts w:ascii="Tahoma" w:eastAsia="Times New Roman" w:hAnsi="Tahoma" w:cs="Tahoma"/>
                <w:b/>
                <w:bCs/>
                <w:sz w:val="20"/>
                <w:szCs w:val="20"/>
                <w:lang w:eastAsia="el-GR"/>
              </w:rPr>
              <w:t>ΣΥΝΟΛΟ ΚΑΘΑΡΩΝ ΕΣΟΔΩΝ</w:t>
            </w:r>
          </w:p>
        </w:tc>
        <w:tc>
          <w:tcPr>
            <w:tcW w:w="1240" w:type="dxa"/>
            <w:tcBorders>
              <w:top w:val="nil"/>
              <w:left w:val="nil"/>
              <w:bottom w:val="single" w:sz="4" w:space="0" w:color="auto"/>
              <w:right w:val="single" w:sz="4" w:space="0" w:color="auto"/>
            </w:tcBorders>
            <w:shd w:val="clear" w:color="auto" w:fill="auto"/>
            <w:noWrap/>
            <w:vAlign w:val="center"/>
            <w:hideMark/>
          </w:tcPr>
          <w:p w14:paraId="03FF33DB" w14:textId="77777777" w:rsidR="009D3B5A" w:rsidRPr="00D23046" w:rsidRDefault="009D3B5A" w:rsidP="009D3B5A">
            <w:pPr>
              <w:spacing w:after="0" w:line="240" w:lineRule="auto"/>
              <w:jc w:val="right"/>
              <w:rPr>
                <w:rFonts w:ascii="Tahoma" w:eastAsia="Times New Roman" w:hAnsi="Tahoma" w:cs="Tahoma"/>
                <w:b/>
                <w:bCs/>
                <w:sz w:val="20"/>
                <w:szCs w:val="20"/>
                <w:lang w:eastAsia="el-GR"/>
              </w:rPr>
            </w:pPr>
            <w:r w:rsidRPr="00D23046">
              <w:rPr>
                <w:rFonts w:ascii="Tahoma" w:eastAsia="Times New Roman" w:hAnsi="Tahoma" w:cs="Tahoma"/>
                <w:b/>
                <w:bCs/>
                <w:sz w:val="20"/>
                <w:szCs w:val="20"/>
                <w:lang w:eastAsia="el-GR"/>
              </w:rPr>
              <w:t>10.394.670</w:t>
            </w:r>
          </w:p>
        </w:tc>
        <w:tc>
          <w:tcPr>
            <w:tcW w:w="1240" w:type="dxa"/>
            <w:tcBorders>
              <w:top w:val="nil"/>
              <w:left w:val="nil"/>
              <w:bottom w:val="single" w:sz="4" w:space="0" w:color="auto"/>
              <w:right w:val="single" w:sz="4" w:space="0" w:color="auto"/>
            </w:tcBorders>
            <w:shd w:val="clear" w:color="auto" w:fill="auto"/>
            <w:noWrap/>
            <w:vAlign w:val="center"/>
            <w:hideMark/>
          </w:tcPr>
          <w:p w14:paraId="70750D15" w14:textId="77777777" w:rsidR="009D3B5A" w:rsidRPr="00D23046" w:rsidRDefault="009D3B5A" w:rsidP="009D3B5A">
            <w:pPr>
              <w:spacing w:after="0" w:line="240" w:lineRule="auto"/>
              <w:jc w:val="right"/>
              <w:rPr>
                <w:rFonts w:ascii="Tahoma" w:eastAsia="Times New Roman" w:hAnsi="Tahoma" w:cs="Tahoma"/>
                <w:b/>
                <w:bCs/>
                <w:sz w:val="20"/>
                <w:szCs w:val="20"/>
                <w:lang w:eastAsia="el-GR"/>
              </w:rPr>
            </w:pPr>
            <w:r w:rsidRPr="00D23046">
              <w:rPr>
                <w:rFonts w:ascii="Tahoma" w:eastAsia="Times New Roman" w:hAnsi="Tahoma" w:cs="Tahoma"/>
                <w:b/>
                <w:bCs/>
                <w:sz w:val="20"/>
                <w:szCs w:val="20"/>
                <w:lang w:eastAsia="el-GR"/>
              </w:rPr>
              <w:t>8.529.354</w:t>
            </w:r>
          </w:p>
        </w:tc>
        <w:tc>
          <w:tcPr>
            <w:tcW w:w="1240" w:type="dxa"/>
            <w:tcBorders>
              <w:top w:val="nil"/>
              <w:left w:val="nil"/>
              <w:bottom w:val="single" w:sz="4" w:space="0" w:color="auto"/>
              <w:right w:val="single" w:sz="4" w:space="0" w:color="auto"/>
            </w:tcBorders>
            <w:shd w:val="clear" w:color="auto" w:fill="auto"/>
            <w:noWrap/>
            <w:vAlign w:val="center"/>
            <w:hideMark/>
          </w:tcPr>
          <w:p w14:paraId="5583C521" w14:textId="77777777" w:rsidR="009D3B5A" w:rsidRPr="00D23046" w:rsidRDefault="009D3B5A" w:rsidP="009D3B5A">
            <w:pPr>
              <w:spacing w:after="0" w:line="240" w:lineRule="auto"/>
              <w:jc w:val="right"/>
              <w:rPr>
                <w:rFonts w:ascii="Tahoma" w:eastAsia="Times New Roman" w:hAnsi="Tahoma" w:cs="Tahoma"/>
                <w:b/>
                <w:bCs/>
                <w:sz w:val="20"/>
                <w:szCs w:val="20"/>
                <w:lang w:eastAsia="el-GR"/>
              </w:rPr>
            </w:pPr>
            <w:r w:rsidRPr="00D23046">
              <w:rPr>
                <w:rFonts w:ascii="Tahoma" w:eastAsia="Times New Roman" w:hAnsi="Tahoma" w:cs="Tahoma"/>
                <w:b/>
                <w:bCs/>
                <w:sz w:val="20"/>
                <w:szCs w:val="20"/>
                <w:lang w:eastAsia="el-GR"/>
              </w:rPr>
              <w:t>8.313.629</w:t>
            </w:r>
          </w:p>
        </w:tc>
        <w:tc>
          <w:tcPr>
            <w:tcW w:w="1240" w:type="dxa"/>
            <w:tcBorders>
              <w:top w:val="nil"/>
              <w:left w:val="nil"/>
              <w:bottom w:val="single" w:sz="4" w:space="0" w:color="auto"/>
              <w:right w:val="single" w:sz="4" w:space="0" w:color="auto"/>
            </w:tcBorders>
            <w:shd w:val="clear" w:color="auto" w:fill="auto"/>
            <w:noWrap/>
            <w:vAlign w:val="center"/>
            <w:hideMark/>
          </w:tcPr>
          <w:p w14:paraId="3B2E6F69" w14:textId="77777777" w:rsidR="009D3B5A" w:rsidRPr="00D23046" w:rsidRDefault="009D3B5A" w:rsidP="009D3B5A">
            <w:pPr>
              <w:spacing w:after="0" w:line="240" w:lineRule="auto"/>
              <w:jc w:val="right"/>
              <w:rPr>
                <w:rFonts w:ascii="Tahoma" w:eastAsia="Times New Roman" w:hAnsi="Tahoma" w:cs="Tahoma"/>
                <w:b/>
                <w:bCs/>
                <w:sz w:val="20"/>
                <w:szCs w:val="20"/>
                <w:lang w:eastAsia="el-GR"/>
              </w:rPr>
            </w:pPr>
            <w:r w:rsidRPr="00D23046">
              <w:rPr>
                <w:rFonts w:ascii="Tahoma" w:eastAsia="Times New Roman" w:hAnsi="Tahoma" w:cs="Tahoma"/>
                <w:b/>
                <w:bCs/>
                <w:sz w:val="20"/>
                <w:szCs w:val="20"/>
                <w:lang w:eastAsia="el-GR"/>
              </w:rPr>
              <w:t>8.604.268</w:t>
            </w:r>
          </w:p>
        </w:tc>
      </w:tr>
      <w:tr w:rsidR="009D3B5A" w:rsidRPr="00D23046" w14:paraId="1F339319" w14:textId="77777777" w:rsidTr="009D3B5A">
        <w:trPr>
          <w:trHeight w:val="360"/>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42268836" w14:textId="77777777" w:rsidR="009D3B5A" w:rsidRPr="00D23046" w:rsidRDefault="009D3B5A" w:rsidP="009D3B5A">
            <w:pPr>
              <w:spacing w:after="0" w:line="240" w:lineRule="auto"/>
              <w:rPr>
                <w:rFonts w:ascii="Tahoma" w:eastAsia="Times New Roman" w:hAnsi="Tahoma" w:cs="Tahoma"/>
                <w:sz w:val="20"/>
                <w:szCs w:val="20"/>
                <w:lang w:eastAsia="el-GR"/>
              </w:rPr>
            </w:pPr>
            <w:proofErr w:type="spellStart"/>
            <w:r w:rsidRPr="00D23046">
              <w:rPr>
                <w:rFonts w:ascii="Tahoma" w:eastAsia="Times New Roman" w:hAnsi="Tahoma" w:cs="Tahoma"/>
                <w:sz w:val="20"/>
                <w:szCs w:val="20"/>
                <w:lang w:eastAsia="el-GR"/>
              </w:rPr>
              <w:t>Λειτουργικά</w:t>
            </w:r>
            <w:proofErr w:type="spellEnd"/>
            <w:r w:rsidRPr="00D23046">
              <w:rPr>
                <w:rFonts w:ascii="Tahoma" w:eastAsia="Times New Roman" w:hAnsi="Tahoma" w:cs="Tahoma"/>
                <w:sz w:val="20"/>
                <w:szCs w:val="20"/>
                <w:lang w:eastAsia="el-GR"/>
              </w:rPr>
              <w:t xml:space="preserve"> </w:t>
            </w:r>
            <w:proofErr w:type="spellStart"/>
            <w:r w:rsidRPr="00D23046">
              <w:rPr>
                <w:rFonts w:ascii="Tahoma" w:eastAsia="Times New Roman" w:hAnsi="Tahoma" w:cs="Tahoma"/>
                <w:sz w:val="20"/>
                <w:szCs w:val="20"/>
                <w:lang w:eastAsia="el-GR"/>
              </w:rPr>
              <w:t>έξοδ</w:t>
            </w:r>
            <w:proofErr w:type="spellEnd"/>
            <w:r w:rsidRPr="00D23046">
              <w:rPr>
                <w:rFonts w:ascii="Tahoma" w:eastAsia="Times New Roman" w:hAnsi="Tahoma" w:cs="Tahoma"/>
                <w:sz w:val="20"/>
                <w:szCs w:val="20"/>
                <w:lang w:eastAsia="el-GR"/>
              </w:rPr>
              <w:t>α</w:t>
            </w:r>
          </w:p>
        </w:tc>
        <w:tc>
          <w:tcPr>
            <w:tcW w:w="1240" w:type="dxa"/>
            <w:tcBorders>
              <w:top w:val="nil"/>
              <w:left w:val="nil"/>
              <w:bottom w:val="single" w:sz="4" w:space="0" w:color="auto"/>
              <w:right w:val="single" w:sz="4" w:space="0" w:color="auto"/>
            </w:tcBorders>
            <w:shd w:val="clear" w:color="auto" w:fill="auto"/>
            <w:noWrap/>
            <w:vAlign w:val="center"/>
            <w:hideMark/>
          </w:tcPr>
          <w:p w14:paraId="5B445E1A" w14:textId="77777777" w:rsidR="009D3B5A" w:rsidRPr="00D23046" w:rsidRDefault="009D3B5A" w:rsidP="009D3B5A">
            <w:pPr>
              <w:spacing w:after="0" w:line="240" w:lineRule="auto"/>
              <w:jc w:val="right"/>
              <w:rPr>
                <w:rFonts w:ascii="Tahoma" w:eastAsia="Times New Roman" w:hAnsi="Tahoma" w:cs="Tahoma"/>
                <w:sz w:val="20"/>
                <w:szCs w:val="20"/>
                <w:lang w:eastAsia="el-GR"/>
              </w:rPr>
            </w:pPr>
            <w:r w:rsidRPr="00D23046">
              <w:rPr>
                <w:rFonts w:ascii="Tahoma" w:eastAsia="Times New Roman" w:hAnsi="Tahoma" w:cs="Tahoma"/>
                <w:sz w:val="20"/>
                <w:szCs w:val="20"/>
                <w:lang w:eastAsia="el-GR"/>
              </w:rPr>
              <w:t>-4.942.248</w:t>
            </w:r>
          </w:p>
        </w:tc>
        <w:tc>
          <w:tcPr>
            <w:tcW w:w="1240" w:type="dxa"/>
            <w:tcBorders>
              <w:top w:val="nil"/>
              <w:left w:val="nil"/>
              <w:bottom w:val="single" w:sz="4" w:space="0" w:color="auto"/>
              <w:right w:val="single" w:sz="4" w:space="0" w:color="auto"/>
            </w:tcBorders>
            <w:shd w:val="clear" w:color="auto" w:fill="auto"/>
            <w:noWrap/>
            <w:vAlign w:val="center"/>
            <w:hideMark/>
          </w:tcPr>
          <w:p w14:paraId="68DAE728" w14:textId="77777777" w:rsidR="009D3B5A" w:rsidRPr="00D23046" w:rsidRDefault="009D3B5A" w:rsidP="009D3B5A">
            <w:pPr>
              <w:spacing w:after="0" w:line="240" w:lineRule="auto"/>
              <w:jc w:val="right"/>
              <w:rPr>
                <w:rFonts w:ascii="Tahoma" w:eastAsia="Times New Roman" w:hAnsi="Tahoma" w:cs="Tahoma"/>
                <w:sz w:val="20"/>
                <w:szCs w:val="20"/>
                <w:lang w:eastAsia="el-GR"/>
              </w:rPr>
            </w:pPr>
            <w:r w:rsidRPr="00D23046">
              <w:rPr>
                <w:rFonts w:ascii="Tahoma" w:eastAsia="Times New Roman" w:hAnsi="Tahoma" w:cs="Tahoma"/>
                <w:sz w:val="20"/>
                <w:szCs w:val="20"/>
                <w:lang w:eastAsia="el-GR"/>
              </w:rPr>
              <w:t>-4.930.764</w:t>
            </w:r>
          </w:p>
        </w:tc>
        <w:tc>
          <w:tcPr>
            <w:tcW w:w="1240" w:type="dxa"/>
            <w:tcBorders>
              <w:top w:val="nil"/>
              <w:left w:val="nil"/>
              <w:bottom w:val="single" w:sz="4" w:space="0" w:color="auto"/>
              <w:right w:val="single" w:sz="4" w:space="0" w:color="auto"/>
            </w:tcBorders>
            <w:shd w:val="clear" w:color="auto" w:fill="auto"/>
            <w:noWrap/>
            <w:vAlign w:val="center"/>
            <w:hideMark/>
          </w:tcPr>
          <w:p w14:paraId="30E2CFF6" w14:textId="77777777" w:rsidR="009D3B5A" w:rsidRPr="00D23046" w:rsidRDefault="009D3B5A" w:rsidP="009D3B5A">
            <w:pPr>
              <w:spacing w:after="0" w:line="240" w:lineRule="auto"/>
              <w:jc w:val="right"/>
              <w:rPr>
                <w:rFonts w:ascii="Tahoma" w:eastAsia="Times New Roman" w:hAnsi="Tahoma" w:cs="Tahoma"/>
                <w:sz w:val="20"/>
                <w:szCs w:val="20"/>
                <w:lang w:eastAsia="el-GR"/>
              </w:rPr>
            </w:pPr>
            <w:r w:rsidRPr="00D23046">
              <w:rPr>
                <w:rFonts w:ascii="Tahoma" w:eastAsia="Times New Roman" w:hAnsi="Tahoma" w:cs="Tahoma"/>
                <w:sz w:val="20"/>
                <w:szCs w:val="20"/>
                <w:lang w:eastAsia="el-GR"/>
              </w:rPr>
              <w:t>-5.150.983</w:t>
            </w:r>
          </w:p>
        </w:tc>
        <w:tc>
          <w:tcPr>
            <w:tcW w:w="1240" w:type="dxa"/>
            <w:tcBorders>
              <w:top w:val="nil"/>
              <w:left w:val="nil"/>
              <w:bottom w:val="single" w:sz="4" w:space="0" w:color="auto"/>
              <w:right w:val="single" w:sz="4" w:space="0" w:color="auto"/>
            </w:tcBorders>
            <w:shd w:val="clear" w:color="auto" w:fill="auto"/>
            <w:noWrap/>
            <w:vAlign w:val="center"/>
            <w:hideMark/>
          </w:tcPr>
          <w:p w14:paraId="0850CF76" w14:textId="77777777" w:rsidR="009D3B5A" w:rsidRPr="00D23046" w:rsidRDefault="009D3B5A" w:rsidP="009D3B5A">
            <w:pPr>
              <w:spacing w:after="0" w:line="240" w:lineRule="auto"/>
              <w:jc w:val="right"/>
              <w:rPr>
                <w:rFonts w:ascii="Tahoma" w:eastAsia="Times New Roman" w:hAnsi="Tahoma" w:cs="Tahoma"/>
                <w:sz w:val="20"/>
                <w:szCs w:val="20"/>
                <w:lang w:eastAsia="el-GR"/>
              </w:rPr>
            </w:pPr>
            <w:r w:rsidRPr="00D23046">
              <w:rPr>
                <w:rFonts w:ascii="Tahoma" w:eastAsia="Times New Roman" w:hAnsi="Tahoma" w:cs="Tahoma"/>
                <w:sz w:val="20"/>
                <w:szCs w:val="20"/>
                <w:lang w:eastAsia="el-GR"/>
              </w:rPr>
              <w:t>-5.274.175</w:t>
            </w:r>
          </w:p>
        </w:tc>
      </w:tr>
      <w:tr w:rsidR="009D3B5A" w:rsidRPr="00D23046" w14:paraId="6B7D9934" w14:textId="77777777" w:rsidTr="009D3B5A">
        <w:trPr>
          <w:trHeight w:val="360"/>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189EE686" w14:textId="77777777" w:rsidR="009D3B5A" w:rsidRPr="00D23046" w:rsidRDefault="009D3B5A" w:rsidP="009D3B5A">
            <w:pPr>
              <w:spacing w:after="0" w:line="240" w:lineRule="auto"/>
              <w:rPr>
                <w:rFonts w:ascii="Tahoma" w:eastAsia="Times New Roman" w:hAnsi="Tahoma" w:cs="Tahoma"/>
                <w:b/>
                <w:bCs/>
                <w:sz w:val="20"/>
                <w:szCs w:val="20"/>
                <w:lang w:eastAsia="el-GR"/>
              </w:rPr>
            </w:pPr>
            <w:r w:rsidRPr="00D23046">
              <w:rPr>
                <w:rFonts w:ascii="Tahoma" w:eastAsia="Times New Roman" w:hAnsi="Tahoma" w:cs="Tahoma"/>
                <w:b/>
                <w:bCs/>
                <w:sz w:val="20"/>
                <w:szCs w:val="20"/>
                <w:lang w:eastAsia="el-GR"/>
              </w:rPr>
              <w:t>ΑΠΟΤΕΛΕΣΜΑΤΑ ΠΡΟ ΠΡΟΒΛΕΨΕΩΝ</w:t>
            </w:r>
          </w:p>
        </w:tc>
        <w:tc>
          <w:tcPr>
            <w:tcW w:w="1240" w:type="dxa"/>
            <w:tcBorders>
              <w:top w:val="nil"/>
              <w:left w:val="nil"/>
              <w:bottom w:val="single" w:sz="4" w:space="0" w:color="auto"/>
              <w:right w:val="single" w:sz="4" w:space="0" w:color="auto"/>
            </w:tcBorders>
            <w:shd w:val="clear" w:color="auto" w:fill="auto"/>
            <w:noWrap/>
            <w:vAlign w:val="center"/>
            <w:hideMark/>
          </w:tcPr>
          <w:p w14:paraId="22FE5E40" w14:textId="77777777" w:rsidR="009D3B5A" w:rsidRPr="00D23046" w:rsidRDefault="009D3B5A" w:rsidP="009D3B5A">
            <w:pPr>
              <w:spacing w:after="0" w:line="240" w:lineRule="auto"/>
              <w:jc w:val="right"/>
              <w:rPr>
                <w:rFonts w:ascii="Tahoma" w:eastAsia="Times New Roman" w:hAnsi="Tahoma" w:cs="Tahoma"/>
                <w:b/>
                <w:bCs/>
                <w:sz w:val="20"/>
                <w:szCs w:val="20"/>
                <w:lang w:eastAsia="el-GR"/>
              </w:rPr>
            </w:pPr>
            <w:r w:rsidRPr="00D23046">
              <w:rPr>
                <w:rFonts w:ascii="Tahoma" w:eastAsia="Times New Roman" w:hAnsi="Tahoma" w:cs="Tahoma"/>
                <w:b/>
                <w:bCs/>
                <w:sz w:val="20"/>
                <w:szCs w:val="20"/>
                <w:lang w:eastAsia="el-GR"/>
              </w:rPr>
              <w:t>5.452.422</w:t>
            </w:r>
          </w:p>
        </w:tc>
        <w:tc>
          <w:tcPr>
            <w:tcW w:w="1240" w:type="dxa"/>
            <w:tcBorders>
              <w:top w:val="nil"/>
              <w:left w:val="nil"/>
              <w:bottom w:val="single" w:sz="4" w:space="0" w:color="auto"/>
              <w:right w:val="single" w:sz="4" w:space="0" w:color="auto"/>
            </w:tcBorders>
            <w:shd w:val="clear" w:color="auto" w:fill="auto"/>
            <w:noWrap/>
            <w:vAlign w:val="center"/>
            <w:hideMark/>
          </w:tcPr>
          <w:p w14:paraId="1372803D" w14:textId="77777777" w:rsidR="009D3B5A" w:rsidRPr="00D23046" w:rsidRDefault="009D3B5A" w:rsidP="009D3B5A">
            <w:pPr>
              <w:spacing w:after="0" w:line="240" w:lineRule="auto"/>
              <w:jc w:val="right"/>
              <w:rPr>
                <w:rFonts w:ascii="Tahoma" w:eastAsia="Times New Roman" w:hAnsi="Tahoma" w:cs="Tahoma"/>
                <w:b/>
                <w:bCs/>
                <w:sz w:val="20"/>
                <w:szCs w:val="20"/>
                <w:lang w:eastAsia="el-GR"/>
              </w:rPr>
            </w:pPr>
            <w:r w:rsidRPr="00D23046">
              <w:rPr>
                <w:rFonts w:ascii="Tahoma" w:eastAsia="Times New Roman" w:hAnsi="Tahoma" w:cs="Tahoma"/>
                <w:b/>
                <w:bCs/>
                <w:sz w:val="20"/>
                <w:szCs w:val="20"/>
                <w:lang w:eastAsia="el-GR"/>
              </w:rPr>
              <w:t>3.598.590</w:t>
            </w:r>
          </w:p>
        </w:tc>
        <w:tc>
          <w:tcPr>
            <w:tcW w:w="1240" w:type="dxa"/>
            <w:tcBorders>
              <w:top w:val="nil"/>
              <w:left w:val="nil"/>
              <w:bottom w:val="single" w:sz="4" w:space="0" w:color="auto"/>
              <w:right w:val="single" w:sz="4" w:space="0" w:color="auto"/>
            </w:tcBorders>
            <w:shd w:val="clear" w:color="auto" w:fill="auto"/>
            <w:noWrap/>
            <w:vAlign w:val="center"/>
            <w:hideMark/>
          </w:tcPr>
          <w:p w14:paraId="2AAE6679" w14:textId="77777777" w:rsidR="009D3B5A" w:rsidRPr="00D23046" w:rsidRDefault="009D3B5A" w:rsidP="009D3B5A">
            <w:pPr>
              <w:spacing w:after="0" w:line="240" w:lineRule="auto"/>
              <w:jc w:val="right"/>
              <w:rPr>
                <w:rFonts w:ascii="Tahoma" w:eastAsia="Times New Roman" w:hAnsi="Tahoma" w:cs="Tahoma"/>
                <w:b/>
                <w:bCs/>
                <w:sz w:val="20"/>
                <w:szCs w:val="20"/>
                <w:lang w:eastAsia="el-GR"/>
              </w:rPr>
            </w:pPr>
            <w:r w:rsidRPr="00D23046">
              <w:rPr>
                <w:rFonts w:ascii="Tahoma" w:eastAsia="Times New Roman" w:hAnsi="Tahoma" w:cs="Tahoma"/>
                <w:b/>
                <w:bCs/>
                <w:sz w:val="20"/>
                <w:szCs w:val="20"/>
                <w:lang w:eastAsia="el-GR"/>
              </w:rPr>
              <w:t>3.162.646</w:t>
            </w:r>
          </w:p>
        </w:tc>
        <w:tc>
          <w:tcPr>
            <w:tcW w:w="1240" w:type="dxa"/>
            <w:tcBorders>
              <w:top w:val="nil"/>
              <w:left w:val="nil"/>
              <w:bottom w:val="single" w:sz="4" w:space="0" w:color="auto"/>
              <w:right w:val="single" w:sz="4" w:space="0" w:color="auto"/>
            </w:tcBorders>
            <w:shd w:val="clear" w:color="auto" w:fill="auto"/>
            <w:noWrap/>
            <w:vAlign w:val="center"/>
            <w:hideMark/>
          </w:tcPr>
          <w:p w14:paraId="7F9E0047" w14:textId="77777777" w:rsidR="009D3B5A" w:rsidRPr="00D23046" w:rsidRDefault="009D3B5A" w:rsidP="009D3B5A">
            <w:pPr>
              <w:spacing w:after="0" w:line="240" w:lineRule="auto"/>
              <w:jc w:val="right"/>
              <w:rPr>
                <w:rFonts w:ascii="Tahoma" w:eastAsia="Times New Roman" w:hAnsi="Tahoma" w:cs="Tahoma"/>
                <w:b/>
                <w:bCs/>
                <w:sz w:val="20"/>
                <w:szCs w:val="20"/>
                <w:lang w:eastAsia="el-GR"/>
              </w:rPr>
            </w:pPr>
            <w:r w:rsidRPr="00D23046">
              <w:rPr>
                <w:rFonts w:ascii="Tahoma" w:eastAsia="Times New Roman" w:hAnsi="Tahoma" w:cs="Tahoma"/>
                <w:b/>
                <w:bCs/>
                <w:sz w:val="20"/>
                <w:szCs w:val="20"/>
                <w:lang w:eastAsia="el-GR"/>
              </w:rPr>
              <w:t>3.330.093</w:t>
            </w:r>
          </w:p>
        </w:tc>
      </w:tr>
      <w:tr w:rsidR="009D3B5A" w:rsidRPr="00D23046" w14:paraId="3B2D402F" w14:textId="77777777" w:rsidTr="009D3B5A">
        <w:trPr>
          <w:trHeight w:val="360"/>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4C6B5202" w14:textId="77777777" w:rsidR="009D3B5A" w:rsidRPr="00D23046" w:rsidRDefault="009D3B5A" w:rsidP="009D3B5A">
            <w:pPr>
              <w:spacing w:after="0" w:line="240" w:lineRule="auto"/>
              <w:rPr>
                <w:rFonts w:ascii="Tahoma" w:eastAsia="Times New Roman" w:hAnsi="Tahoma" w:cs="Tahoma"/>
                <w:sz w:val="20"/>
                <w:szCs w:val="20"/>
                <w:lang w:eastAsia="el-GR"/>
              </w:rPr>
            </w:pPr>
            <w:proofErr w:type="spellStart"/>
            <w:r w:rsidRPr="00D23046">
              <w:rPr>
                <w:rFonts w:ascii="Tahoma" w:eastAsia="Times New Roman" w:hAnsi="Tahoma" w:cs="Tahoma"/>
                <w:sz w:val="20"/>
                <w:szCs w:val="20"/>
                <w:lang w:eastAsia="el-GR"/>
              </w:rPr>
              <w:t>Προ</w:t>
            </w:r>
            <w:proofErr w:type="spellEnd"/>
            <w:r w:rsidRPr="00D23046">
              <w:rPr>
                <w:rFonts w:ascii="Tahoma" w:eastAsia="Times New Roman" w:hAnsi="Tahoma" w:cs="Tahoma"/>
                <w:sz w:val="20"/>
                <w:szCs w:val="20"/>
                <w:lang w:eastAsia="el-GR"/>
              </w:rPr>
              <w:t>βλέψεις</w:t>
            </w:r>
          </w:p>
        </w:tc>
        <w:tc>
          <w:tcPr>
            <w:tcW w:w="1240" w:type="dxa"/>
            <w:tcBorders>
              <w:top w:val="nil"/>
              <w:left w:val="nil"/>
              <w:bottom w:val="single" w:sz="4" w:space="0" w:color="auto"/>
              <w:right w:val="single" w:sz="4" w:space="0" w:color="auto"/>
            </w:tcBorders>
            <w:shd w:val="clear" w:color="auto" w:fill="auto"/>
            <w:noWrap/>
            <w:vAlign w:val="center"/>
            <w:hideMark/>
          </w:tcPr>
          <w:p w14:paraId="4C35E2C7" w14:textId="77777777" w:rsidR="009D3B5A" w:rsidRPr="00D23046" w:rsidRDefault="009D3B5A" w:rsidP="009D3B5A">
            <w:pPr>
              <w:spacing w:after="0" w:line="240" w:lineRule="auto"/>
              <w:jc w:val="right"/>
              <w:rPr>
                <w:rFonts w:ascii="Tahoma" w:eastAsia="Times New Roman" w:hAnsi="Tahoma" w:cs="Tahoma"/>
                <w:sz w:val="20"/>
                <w:szCs w:val="20"/>
                <w:lang w:eastAsia="el-GR"/>
              </w:rPr>
            </w:pPr>
            <w:r w:rsidRPr="00D23046">
              <w:rPr>
                <w:rFonts w:ascii="Tahoma" w:eastAsia="Times New Roman" w:hAnsi="Tahoma" w:cs="Tahoma"/>
                <w:sz w:val="20"/>
                <w:szCs w:val="20"/>
                <w:lang w:eastAsia="el-GR"/>
              </w:rPr>
              <w:t>-7.357.867</w:t>
            </w:r>
          </w:p>
        </w:tc>
        <w:tc>
          <w:tcPr>
            <w:tcW w:w="1240" w:type="dxa"/>
            <w:tcBorders>
              <w:top w:val="nil"/>
              <w:left w:val="nil"/>
              <w:bottom w:val="single" w:sz="4" w:space="0" w:color="auto"/>
              <w:right w:val="single" w:sz="4" w:space="0" w:color="auto"/>
            </w:tcBorders>
            <w:shd w:val="clear" w:color="auto" w:fill="auto"/>
            <w:noWrap/>
            <w:vAlign w:val="center"/>
            <w:hideMark/>
          </w:tcPr>
          <w:p w14:paraId="4A49D425" w14:textId="77777777" w:rsidR="009D3B5A" w:rsidRPr="00D23046" w:rsidRDefault="009D3B5A" w:rsidP="009D3B5A">
            <w:pPr>
              <w:spacing w:after="0" w:line="240" w:lineRule="auto"/>
              <w:jc w:val="right"/>
              <w:rPr>
                <w:rFonts w:ascii="Tahoma" w:eastAsia="Times New Roman" w:hAnsi="Tahoma" w:cs="Tahoma"/>
                <w:sz w:val="20"/>
                <w:szCs w:val="20"/>
                <w:lang w:eastAsia="el-GR"/>
              </w:rPr>
            </w:pPr>
            <w:r w:rsidRPr="00D23046">
              <w:rPr>
                <w:rFonts w:ascii="Tahoma" w:eastAsia="Times New Roman" w:hAnsi="Tahoma" w:cs="Tahoma"/>
                <w:sz w:val="20"/>
                <w:szCs w:val="20"/>
                <w:lang w:eastAsia="el-GR"/>
              </w:rPr>
              <w:t>-2.969.414</w:t>
            </w:r>
          </w:p>
        </w:tc>
        <w:tc>
          <w:tcPr>
            <w:tcW w:w="1240" w:type="dxa"/>
            <w:tcBorders>
              <w:top w:val="nil"/>
              <w:left w:val="nil"/>
              <w:bottom w:val="single" w:sz="4" w:space="0" w:color="auto"/>
              <w:right w:val="single" w:sz="4" w:space="0" w:color="auto"/>
            </w:tcBorders>
            <w:shd w:val="clear" w:color="auto" w:fill="auto"/>
            <w:noWrap/>
            <w:vAlign w:val="center"/>
            <w:hideMark/>
          </w:tcPr>
          <w:p w14:paraId="0D5C5FD8" w14:textId="77777777" w:rsidR="009D3B5A" w:rsidRPr="00D23046" w:rsidRDefault="009D3B5A" w:rsidP="009D3B5A">
            <w:pPr>
              <w:spacing w:after="0" w:line="240" w:lineRule="auto"/>
              <w:jc w:val="right"/>
              <w:rPr>
                <w:rFonts w:ascii="Tahoma" w:eastAsia="Times New Roman" w:hAnsi="Tahoma" w:cs="Tahoma"/>
                <w:sz w:val="20"/>
                <w:szCs w:val="20"/>
                <w:lang w:eastAsia="el-GR"/>
              </w:rPr>
            </w:pPr>
            <w:r w:rsidRPr="00D23046">
              <w:rPr>
                <w:rFonts w:ascii="Tahoma" w:eastAsia="Times New Roman" w:hAnsi="Tahoma" w:cs="Tahoma"/>
                <w:sz w:val="20"/>
                <w:szCs w:val="20"/>
                <w:lang w:eastAsia="el-GR"/>
              </w:rPr>
              <w:t>-2.310.170</w:t>
            </w:r>
          </w:p>
        </w:tc>
        <w:tc>
          <w:tcPr>
            <w:tcW w:w="1240" w:type="dxa"/>
            <w:tcBorders>
              <w:top w:val="nil"/>
              <w:left w:val="nil"/>
              <w:bottom w:val="single" w:sz="4" w:space="0" w:color="auto"/>
              <w:right w:val="single" w:sz="4" w:space="0" w:color="auto"/>
            </w:tcBorders>
            <w:shd w:val="clear" w:color="auto" w:fill="auto"/>
            <w:noWrap/>
            <w:vAlign w:val="center"/>
            <w:hideMark/>
          </w:tcPr>
          <w:p w14:paraId="2BD59120" w14:textId="77777777" w:rsidR="009D3B5A" w:rsidRPr="00D23046" w:rsidRDefault="009D3B5A" w:rsidP="009D3B5A">
            <w:pPr>
              <w:spacing w:after="0" w:line="240" w:lineRule="auto"/>
              <w:jc w:val="right"/>
              <w:rPr>
                <w:rFonts w:ascii="Tahoma" w:eastAsia="Times New Roman" w:hAnsi="Tahoma" w:cs="Tahoma"/>
                <w:sz w:val="20"/>
                <w:szCs w:val="20"/>
                <w:lang w:eastAsia="el-GR"/>
              </w:rPr>
            </w:pPr>
            <w:r w:rsidRPr="00D23046">
              <w:rPr>
                <w:rFonts w:ascii="Tahoma" w:eastAsia="Times New Roman" w:hAnsi="Tahoma" w:cs="Tahoma"/>
                <w:sz w:val="20"/>
                <w:szCs w:val="20"/>
                <w:lang w:eastAsia="el-GR"/>
              </w:rPr>
              <w:t>-2.093.868</w:t>
            </w:r>
          </w:p>
        </w:tc>
      </w:tr>
      <w:tr w:rsidR="009D3B5A" w:rsidRPr="00D23046" w14:paraId="24046C65" w14:textId="77777777" w:rsidTr="009D3B5A">
        <w:trPr>
          <w:trHeight w:val="360"/>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52041075" w14:textId="77777777" w:rsidR="009D3B5A" w:rsidRPr="00D23046" w:rsidRDefault="009D3B5A" w:rsidP="009D3B5A">
            <w:pPr>
              <w:spacing w:after="0" w:line="240" w:lineRule="auto"/>
              <w:rPr>
                <w:rFonts w:ascii="Tahoma" w:eastAsia="Times New Roman" w:hAnsi="Tahoma" w:cs="Tahoma"/>
                <w:b/>
                <w:bCs/>
                <w:sz w:val="20"/>
                <w:szCs w:val="20"/>
                <w:lang w:eastAsia="el-GR"/>
              </w:rPr>
            </w:pPr>
            <w:r w:rsidRPr="00D23046">
              <w:rPr>
                <w:rFonts w:ascii="Tahoma" w:eastAsia="Times New Roman" w:hAnsi="Tahoma" w:cs="Tahoma"/>
                <w:b/>
                <w:bCs/>
                <w:sz w:val="20"/>
                <w:szCs w:val="20"/>
                <w:lang w:eastAsia="el-GR"/>
              </w:rPr>
              <w:t>ΑΠΟΤΕΛΕΣΜΑΤΑ ΠΡΟ ΦΟΡΩΝ</w:t>
            </w:r>
          </w:p>
        </w:tc>
        <w:tc>
          <w:tcPr>
            <w:tcW w:w="1240" w:type="dxa"/>
            <w:tcBorders>
              <w:top w:val="nil"/>
              <w:left w:val="nil"/>
              <w:bottom w:val="single" w:sz="4" w:space="0" w:color="auto"/>
              <w:right w:val="single" w:sz="4" w:space="0" w:color="auto"/>
            </w:tcBorders>
            <w:shd w:val="clear" w:color="auto" w:fill="auto"/>
            <w:noWrap/>
            <w:vAlign w:val="center"/>
            <w:hideMark/>
          </w:tcPr>
          <w:p w14:paraId="00F839FD" w14:textId="77777777" w:rsidR="009D3B5A" w:rsidRPr="00D23046" w:rsidRDefault="009D3B5A" w:rsidP="009D3B5A">
            <w:pPr>
              <w:spacing w:after="0" w:line="240" w:lineRule="auto"/>
              <w:jc w:val="right"/>
              <w:rPr>
                <w:rFonts w:ascii="Tahoma" w:eastAsia="Times New Roman" w:hAnsi="Tahoma" w:cs="Tahoma"/>
                <w:b/>
                <w:bCs/>
                <w:sz w:val="20"/>
                <w:szCs w:val="20"/>
                <w:lang w:eastAsia="el-GR"/>
              </w:rPr>
            </w:pPr>
            <w:r w:rsidRPr="00D23046">
              <w:rPr>
                <w:rFonts w:ascii="Tahoma" w:eastAsia="Times New Roman" w:hAnsi="Tahoma" w:cs="Tahoma"/>
                <w:b/>
                <w:bCs/>
                <w:sz w:val="20"/>
                <w:szCs w:val="20"/>
                <w:lang w:eastAsia="el-GR"/>
              </w:rPr>
              <w:t>-1.905.445</w:t>
            </w:r>
          </w:p>
        </w:tc>
        <w:tc>
          <w:tcPr>
            <w:tcW w:w="1240" w:type="dxa"/>
            <w:tcBorders>
              <w:top w:val="nil"/>
              <w:left w:val="nil"/>
              <w:bottom w:val="single" w:sz="4" w:space="0" w:color="auto"/>
              <w:right w:val="single" w:sz="4" w:space="0" w:color="auto"/>
            </w:tcBorders>
            <w:shd w:val="clear" w:color="auto" w:fill="auto"/>
            <w:noWrap/>
            <w:vAlign w:val="center"/>
            <w:hideMark/>
          </w:tcPr>
          <w:p w14:paraId="4DD55E73" w14:textId="77777777" w:rsidR="009D3B5A" w:rsidRPr="00D23046" w:rsidRDefault="009D3B5A" w:rsidP="009D3B5A">
            <w:pPr>
              <w:spacing w:after="0" w:line="240" w:lineRule="auto"/>
              <w:jc w:val="right"/>
              <w:rPr>
                <w:rFonts w:ascii="Tahoma" w:eastAsia="Times New Roman" w:hAnsi="Tahoma" w:cs="Tahoma"/>
                <w:b/>
                <w:bCs/>
                <w:sz w:val="20"/>
                <w:szCs w:val="20"/>
                <w:lang w:eastAsia="el-GR"/>
              </w:rPr>
            </w:pPr>
            <w:r w:rsidRPr="00D23046">
              <w:rPr>
                <w:rFonts w:ascii="Tahoma" w:eastAsia="Times New Roman" w:hAnsi="Tahoma" w:cs="Tahoma"/>
                <w:b/>
                <w:bCs/>
                <w:sz w:val="20"/>
                <w:szCs w:val="20"/>
                <w:lang w:eastAsia="el-GR"/>
              </w:rPr>
              <w:t>629.176</w:t>
            </w:r>
          </w:p>
        </w:tc>
        <w:tc>
          <w:tcPr>
            <w:tcW w:w="1240" w:type="dxa"/>
            <w:tcBorders>
              <w:top w:val="nil"/>
              <w:left w:val="nil"/>
              <w:bottom w:val="single" w:sz="4" w:space="0" w:color="auto"/>
              <w:right w:val="single" w:sz="4" w:space="0" w:color="auto"/>
            </w:tcBorders>
            <w:shd w:val="clear" w:color="auto" w:fill="auto"/>
            <w:noWrap/>
            <w:vAlign w:val="center"/>
            <w:hideMark/>
          </w:tcPr>
          <w:p w14:paraId="0D953CD2" w14:textId="77777777" w:rsidR="009D3B5A" w:rsidRPr="00D23046" w:rsidRDefault="009D3B5A" w:rsidP="009D3B5A">
            <w:pPr>
              <w:spacing w:after="0" w:line="240" w:lineRule="auto"/>
              <w:jc w:val="right"/>
              <w:rPr>
                <w:rFonts w:ascii="Tahoma" w:eastAsia="Times New Roman" w:hAnsi="Tahoma" w:cs="Tahoma"/>
                <w:b/>
                <w:bCs/>
                <w:sz w:val="20"/>
                <w:szCs w:val="20"/>
                <w:lang w:eastAsia="el-GR"/>
              </w:rPr>
            </w:pPr>
            <w:r w:rsidRPr="00D23046">
              <w:rPr>
                <w:rFonts w:ascii="Tahoma" w:eastAsia="Times New Roman" w:hAnsi="Tahoma" w:cs="Tahoma"/>
                <w:b/>
                <w:bCs/>
                <w:sz w:val="20"/>
                <w:szCs w:val="20"/>
                <w:lang w:eastAsia="el-GR"/>
              </w:rPr>
              <w:t>852.476</w:t>
            </w:r>
          </w:p>
        </w:tc>
        <w:tc>
          <w:tcPr>
            <w:tcW w:w="1240" w:type="dxa"/>
            <w:tcBorders>
              <w:top w:val="nil"/>
              <w:left w:val="nil"/>
              <w:bottom w:val="single" w:sz="4" w:space="0" w:color="auto"/>
              <w:right w:val="single" w:sz="4" w:space="0" w:color="auto"/>
            </w:tcBorders>
            <w:shd w:val="clear" w:color="auto" w:fill="auto"/>
            <w:noWrap/>
            <w:vAlign w:val="center"/>
            <w:hideMark/>
          </w:tcPr>
          <w:p w14:paraId="314AF777" w14:textId="77777777" w:rsidR="009D3B5A" w:rsidRPr="00D23046" w:rsidRDefault="009D3B5A" w:rsidP="009D3B5A">
            <w:pPr>
              <w:spacing w:after="0" w:line="240" w:lineRule="auto"/>
              <w:jc w:val="right"/>
              <w:rPr>
                <w:rFonts w:ascii="Tahoma" w:eastAsia="Times New Roman" w:hAnsi="Tahoma" w:cs="Tahoma"/>
                <w:b/>
                <w:bCs/>
                <w:sz w:val="20"/>
                <w:szCs w:val="20"/>
                <w:lang w:eastAsia="el-GR"/>
              </w:rPr>
            </w:pPr>
            <w:r w:rsidRPr="00D23046">
              <w:rPr>
                <w:rFonts w:ascii="Tahoma" w:eastAsia="Times New Roman" w:hAnsi="Tahoma" w:cs="Tahoma"/>
                <w:b/>
                <w:bCs/>
                <w:sz w:val="20"/>
                <w:szCs w:val="20"/>
                <w:lang w:eastAsia="el-GR"/>
              </w:rPr>
              <w:t>1.236.225</w:t>
            </w:r>
          </w:p>
        </w:tc>
      </w:tr>
      <w:tr w:rsidR="009D3B5A" w:rsidRPr="00D23046" w14:paraId="214D48CB" w14:textId="77777777" w:rsidTr="009D3B5A">
        <w:trPr>
          <w:trHeight w:val="360"/>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58BF2233" w14:textId="77777777" w:rsidR="009D3B5A" w:rsidRPr="00D23046" w:rsidRDefault="009D3B5A" w:rsidP="009D3B5A">
            <w:pPr>
              <w:spacing w:after="0" w:line="240" w:lineRule="auto"/>
              <w:rPr>
                <w:rFonts w:ascii="Tahoma" w:eastAsia="Times New Roman" w:hAnsi="Tahoma" w:cs="Tahoma"/>
                <w:sz w:val="20"/>
                <w:szCs w:val="20"/>
                <w:lang w:eastAsia="el-GR"/>
              </w:rPr>
            </w:pPr>
            <w:proofErr w:type="spellStart"/>
            <w:r w:rsidRPr="00D23046">
              <w:rPr>
                <w:rFonts w:ascii="Tahoma" w:eastAsia="Times New Roman" w:hAnsi="Tahoma" w:cs="Tahoma"/>
                <w:sz w:val="20"/>
                <w:szCs w:val="20"/>
                <w:lang w:eastAsia="el-GR"/>
              </w:rPr>
              <w:t>Φόρος</w:t>
            </w:r>
            <w:proofErr w:type="spellEnd"/>
            <w:r w:rsidRPr="00D23046">
              <w:rPr>
                <w:rFonts w:ascii="Tahoma" w:eastAsia="Times New Roman" w:hAnsi="Tahoma" w:cs="Tahoma"/>
                <w:sz w:val="20"/>
                <w:szCs w:val="20"/>
                <w:lang w:eastAsia="el-GR"/>
              </w:rPr>
              <w:t xml:space="preserve"> </w:t>
            </w:r>
            <w:proofErr w:type="spellStart"/>
            <w:r w:rsidRPr="00D23046">
              <w:rPr>
                <w:rFonts w:ascii="Tahoma" w:eastAsia="Times New Roman" w:hAnsi="Tahoma" w:cs="Tahoma"/>
                <w:sz w:val="20"/>
                <w:szCs w:val="20"/>
                <w:lang w:eastAsia="el-GR"/>
              </w:rPr>
              <w:t>εισοδήμ</w:t>
            </w:r>
            <w:proofErr w:type="spellEnd"/>
            <w:r w:rsidRPr="00D23046">
              <w:rPr>
                <w:rFonts w:ascii="Tahoma" w:eastAsia="Times New Roman" w:hAnsi="Tahoma" w:cs="Tahoma"/>
                <w:sz w:val="20"/>
                <w:szCs w:val="20"/>
                <w:lang w:eastAsia="el-GR"/>
              </w:rPr>
              <w:t>ατος</w:t>
            </w:r>
          </w:p>
        </w:tc>
        <w:tc>
          <w:tcPr>
            <w:tcW w:w="1240" w:type="dxa"/>
            <w:tcBorders>
              <w:top w:val="nil"/>
              <w:left w:val="nil"/>
              <w:bottom w:val="single" w:sz="4" w:space="0" w:color="auto"/>
              <w:right w:val="single" w:sz="4" w:space="0" w:color="auto"/>
            </w:tcBorders>
            <w:shd w:val="clear" w:color="auto" w:fill="auto"/>
            <w:noWrap/>
            <w:vAlign w:val="center"/>
            <w:hideMark/>
          </w:tcPr>
          <w:p w14:paraId="378FF19E" w14:textId="77777777" w:rsidR="009D3B5A" w:rsidRPr="00D23046" w:rsidRDefault="009D3B5A" w:rsidP="009D3B5A">
            <w:pPr>
              <w:spacing w:after="0" w:line="240" w:lineRule="auto"/>
              <w:jc w:val="right"/>
              <w:rPr>
                <w:rFonts w:ascii="Tahoma" w:eastAsia="Times New Roman" w:hAnsi="Tahoma" w:cs="Tahoma"/>
                <w:sz w:val="20"/>
                <w:szCs w:val="20"/>
                <w:lang w:eastAsia="el-GR"/>
              </w:rPr>
            </w:pPr>
            <w:r w:rsidRPr="00D23046">
              <w:rPr>
                <w:rFonts w:ascii="Tahoma" w:eastAsia="Times New Roman" w:hAnsi="Tahoma" w:cs="Tahoma"/>
                <w:sz w:val="20"/>
                <w:szCs w:val="20"/>
                <w:lang w:eastAsia="el-GR"/>
              </w:rPr>
              <w:t>1.164.374</w:t>
            </w:r>
          </w:p>
        </w:tc>
        <w:tc>
          <w:tcPr>
            <w:tcW w:w="1240" w:type="dxa"/>
            <w:tcBorders>
              <w:top w:val="nil"/>
              <w:left w:val="nil"/>
              <w:bottom w:val="single" w:sz="4" w:space="0" w:color="auto"/>
              <w:right w:val="single" w:sz="4" w:space="0" w:color="auto"/>
            </w:tcBorders>
            <w:shd w:val="clear" w:color="auto" w:fill="auto"/>
            <w:noWrap/>
            <w:vAlign w:val="center"/>
            <w:hideMark/>
          </w:tcPr>
          <w:p w14:paraId="2835143D" w14:textId="77777777" w:rsidR="009D3B5A" w:rsidRPr="00D23046" w:rsidRDefault="009D3B5A" w:rsidP="009D3B5A">
            <w:pPr>
              <w:spacing w:after="0" w:line="240" w:lineRule="auto"/>
              <w:jc w:val="right"/>
              <w:rPr>
                <w:rFonts w:ascii="Tahoma" w:eastAsia="Times New Roman" w:hAnsi="Tahoma" w:cs="Tahoma"/>
                <w:sz w:val="20"/>
                <w:szCs w:val="20"/>
                <w:lang w:eastAsia="el-GR"/>
              </w:rPr>
            </w:pPr>
            <w:r w:rsidRPr="00D23046">
              <w:rPr>
                <w:rFonts w:ascii="Tahoma" w:eastAsia="Times New Roman" w:hAnsi="Tahoma" w:cs="Tahoma"/>
                <w:sz w:val="20"/>
                <w:szCs w:val="20"/>
                <w:lang w:eastAsia="el-GR"/>
              </w:rPr>
              <w:t>-119.276</w:t>
            </w:r>
          </w:p>
        </w:tc>
        <w:tc>
          <w:tcPr>
            <w:tcW w:w="1240" w:type="dxa"/>
            <w:tcBorders>
              <w:top w:val="nil"/>
              <w:left w:val="nil"/>
              <w:bottom w:val="single" w:sz="4" w:space="0" w:color="auto"/>
              <w:right w:val="single" w:sz="4" w:space="0" w:color="auto"/>
            </w:tcBorders>
            <w:shd w:val="clear" w:color="auto" w:fill="auto"/>
            <w:noWrap/>
            <w:vAlign w:val="center"/>
            <w:hideMark/>
          </w:tcPr>
          <w:p w14:paraId="175639D6" w14:textId="77777777" w:rsidR="009D3B5A" w:rsidRPr="00D23046" w:rsidRDefault="009D3B5A" w:rsidP="009D3B5A">
            <w:pPr>
              <w:spacing w:after="0" w:line="240" w:lineRule="auto"/>
              <w:jc w:val="right"/>
              <w:rPr>
                <w:rFonts w:ascii="Tahoma" w:eastAsia="Times New Roman" w:hAnsi="Tahoma" w:cs="Tahoma"/>
                <w:sz w:val="20"/>
                <w:szCs w:val="20"/>
                <w:lang w:eastAsia="el-GR"/>
              </w:rPr>
            </w:pPr>
            <w:r w:rsidRPr="00D23046">
              <w:rPr>
                <w:rFonts w:ascii="Tahoma" w:eastAsia="Times New Roman" w:hAnsi="Tahoma" w:cs="Tahoma"/>
                <w:sz w:val="20"/>
                <w:szCs w:val="20"/>
                <w:lang w:eastAsia="el-GR"/>
              </w:rPr>
              <w:t>-364.049</w:t>
            </w:r>
          </w:p>
        </w:tc>
        <w:tc>
          <w:tcPr>
            <w:tcW w:w="1240" w:type="dxa"/>
            <w:tcBorders>
              <w:top w:val="nil"/>
              <w:left w:val="nil"/>
              <w:bottom w:val="single" w:sz="4" w:space="0" w:color="auto"/>
              <w:right w:val="single" w:sz="4" w:space="0" w:color="auto"/>
            </w:tcBorders>
            <w:shd w:val="clear" w:color="auto" w:fill="auto"/>
            <w:noWrap/>
            <w:vAlign w:val="center"/>
            <w:hideMark/>
          </w:tcPr>
          <w:p w14:paraId="61F579C4" w14:textId="77777777" w:rsidR="009D3B5A" w:rsidRPr="00D23046" w:rsidRDefault="009D3B5A" w:rsidP="009D3B5A">
            <w:pPr>
              <w:spacing w:after="0" w:line="240" w:lineRule="auto"/>
              <w:jc w:val="right"/>
              <w:rPr>
                <w:rFonts w:ascii="Tahoma" w:eastAsia="Times New Roman" w:hAnsi="Tahoma" w:cs="Tahoma"/>
                <w:sz w:val="20"/>
                <w:szCs w:val="20"/>
                <w:lang w:eastAsia="el-GR"/>
              </w:rPr>
            </w:pPr>
            <w:r w:rsidRPr="00D23046">
              <w:rPr>
                <w:rFonts w:ascii="Tahoma" w:eastAsia="Times New Roman" w:hAnsi="Tahoma" w:cs="Tahoma"/>
                <w:sz w:val="20"/>
                <w:szCs w:val="20"/>
                <w:lang w:eastAsia="el-GR"/>
              </w:rPr>
              <w:t>-411.105</w:t>
            </w:r>
          </w:p>
        </w:tc>
      </w:tr>
      <w:tr w:rsidR="009D3B5A" w:rsidRPr="00D23046" w14:paraId="756C6E88" w14:textId="77777777" w:rsidTr="009D3B5A">
        <w:trPr>
          <w:trHeight w:val="360"/>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2CEE5F80" w14:textId="77777777" w:rsidR="009D3B5A" w:rsidRPr="00D23046" w:rsidRDefault="009D3B5A" w:rsidP="009D3B5A">
            <w:pPr>
              <w:spacing w:after="0" w:line="240" w:lineRule="auto"/>
              <w:rPr>
                <w:rFonts w:ascii="Tahoma" w:eastAsia="Times New Roman" w:hAnsi="Tahoma" w:cs="Tahoma"/>
                <w:b/>
                <w:bCs/>
                <w:sz w:val="20"/>
                <w:szCs w:val="20"/>
                <w:lang w:eastAsia="el-GR"/>
              </w:rPr>
            </w:pPr>
            <w:r w:rsidRPr="00D23046">
              <w:rPr>
                <w:rFonts w:ascii="Tahoma" w:eastAsia="Times New Roman" w:hAnsi="Tahoma" w:cs="Tahoma"/>
                <w:b/>
                <w:bCs/>
                <w:sz w:val="20"/>
                <w:szCs w:val="20"/>
                <w:lang w:eastAsia="el-GR"/>
              </w:rPr>
              <w:t>ΑΠΟΤΕΛΕΣΜΑΤΑ ΜΕΤΑ ΑΠΟ ΦΟΡΟΥΣ</w:t>
            </w:r>
          </w:p>
        </w:tc>
        <w:tc>
          <w:tcPr>
            <w:tcW w:w="1240" w:type="dxa"/>
            <w:tcBorders>
              <w:top w:val="nil"/>
              <w:left w:val="nil"/>
              <w:bottom w:val="single" w:sz="4" w:space="0" w:color="auto"/>
              <w:right w:val="single" w:sz="4" w:space="0" w:color="auto"/>
            </w:tcBorders>
            <w:shd w:val="clear" w:color="auto" w:fill="auto"/>
            <w:noWrap/>
            <w:vAlign w:val="center"/>
            <w:hideMark/>
          </w:tcPr>
          <w:p w14:paraId="4FD27D7A" w14:textId="77777777" w:rsidR="009D3B5A" w:rsidRPr="00D23046" w:rsidRDefault="009D3B5A" w:rsidP="009D3B5A">
            <w:pPr>
              <w:spacing w:after="0" w:line="240" w:lineRule="auto"/>
              <w:jc w:val="right"/>
              <w:rPr>
                <w:rFonts w:ascii="Tahoma" w:eastAsia="Times New Roman" w:hAnsi="Tahoma" w:cs="Tahoma"/>
                <w:b/>
                <w:bCs/>
                <w:sz w:val="20"/>
                <w:szCs w:val="20"/>
                <w:lang w:eastAsia="el-GR"/>
              </w:rPr>
            </w:pPr>
            <w:r w:rsidRPr="00D23046">
              <w:rPr>
                <w:rFonts w:ascii="Tahoma" w:eastAsia="Times New Roman" w:hAnsi="Tahoma" w:cs="Tahoma"/>
                <w:b/>
                <w:bCs/>
                <w:sz w:val="20"/>
                <w:szCs w:val="20"/>
                <w:lang w:eastAsia="el-GR"/>
              </w:rPr>
              <w:t>-741.071</w:t>
            </w:r>
          </w:p>
        </w:tc>
        <w:tc>
          <w:tcPr>
            <w:tcW w:w="1240" w:type="dxa"/>
            <w:tcBorders>
              <w:top w:val="nil"/>
              <w:left w:val="nil"/>
              <w:bottom w:val="single" w:sz="4" w:space="0" w:color="auto"/>
              <w:right w:val="single" w:sz="4" w:space="0" w:color="auto"/>
            </w:tcBorders>
            <w:shd w:val="clear" w:color="auto" w:fill="auto"/>
            <w:noWrap/>
            <w:vAlign w:val="center"/>
            <w:hideMark/>
          </w:tcPr>
          <w:p w14:paraId="59249234" w14:textId="77777777" w:rsidR="009D3B5A" w:rsidRPr="00D23046" w:rsidRDefault="009D3B5A" w:rsidP="009D3B5A">
            <w:pPr>
              <w:spacing w:after="0" w:line="240" w:lineRule="auto"/>
              <w:jc w:val="right"/>
              <w:rPr>
                <w:rFonts w:ascii="Tahoma" w:eastAsia="Times New Roman" w:hAnsi="Tahoma" w:cs="Tahoma"/>
                <w:b/>
                <w:bCs/>
                <w:sz w:val="20"/>
                <w:szCs w:val="20"/>
                <w:lang w:eastAsia="el-GR"/>
              </w:rPr>
            </w:pPr>
            <w:r w:rsidRPr="00D23046">
              <w:rPr>
                <w:rFonts w:ascii="Tahoma" w:eastAsia="Times New Roman" w:hAnsi="Tahoma" w:cs="Tahoma"/>
                <w:b/>
                <w:bCs/>
                <w:sz w:val="20"/>
                <w:szCs w:val="20"/>
                <w:lang w:eastAsia="el-GR"/>
              </w:rPr>
              <w:t>509.900</w:t>
            </w:r>
          </w:p>
        </w:tc>
        <w:tc>
          <w:tcPr>
            <w:tcW w:w="1240" w:type="dxa"/>
            <w:tcBorders>
              <w:top w:val="nil"/>
              <w:left w:val="nil"/>
              <w:bottom w:val="single" w:sz="4" w:space="0" w:color="auto"/>
              <w:right w:val="single" w:sz="4" w:space="0" w:color="auto"/>
            </w:tcBorders>
            <w:shd w:val="clear" w:color="auto" w:fill="auto"/>
            <w:noWrap/>
            <w:vAlign w:val="center"/>
            <w:hideMark/>
          </w:tcPr>
          <w:p w14:paraId="6B09A968" w14:textId="77777777" w:rsidR="009D3B5A" w:rsidRPr="00D23046" w:rsidRDefault="009D3B5A" w:rsidP="009D3B5A">
            <w:pPr>
              <w:spacing w:after="0" w:line="240" w:lineRule="auto"/>
              <w:jc w:val="right"/>
              <w:rPr>
                <w:rFonts w:ascii="Tahoma" w:eastAsia="Times New Roman" w:hAnsi="Tahoma" w:cs="Tahoma"/>
                <w:b/>
                <w:bCs/>
                <w:sz w:val="20"/>
                <w:szCs w:val="20"/>
                <w:lang w:eastAsia="el-GR"/>
              </w:rPr>
            </w:pPr>
            <w:r w:rsidRPr="00D23046">
              <w:rPr>
                <w:rFonts w:ascii="Tahoma" w:eastAsia="Times New Roman" w:hAnsi="Tahoma" w:cs="Tahoma"/>
                <w:b/>
                <w:bCs/>
                <w:sz w:val="20"/>
                <w:szCs w:val="20"/>
                <w:lang w:eastAsia="el-GR"/>
              </w:rPr>
              <w:t>488.427</w:t>
            </w:r>
          </w:p>
        </w:tc>
        <w:tc>
          <w:tcPr>
            <w:tcW w:w="1240" w:type="dxa"/>
            <w:tcBorders>
              <w:top w:val="nil"/>
              <w:left w:val="nil"/>
              <w:bottom w:val="single" w:sz="4" w:space="0" w:color="auto"/>
              <w:right w:val="single" w:sz="4" w:space="0" w:color="auto"/>
            </w:tcBorders>
            <w:shd w:val="clear" w:color="auto" w:fill="auto"/>
            <w:noWrap/>
            <w:vAlign w:val="center"/>
            <w:hideMark/>
          </w:tcPr>
          <w:p w14:paraId="6CB4F6C9" w14:textId="77777777" w:rsidR="009D3B5A" w:rsidRPr="00D23046" w:rsidRDefault="009D3B5A" w:rsidP="009D3B5A">
            <w:pPr>
              <w:spacing w:after="0" w:line="240" w:lineRule="auto"/>
              <w:jc w:val="right"/>
              <w:rPr>
                <w:rFonts w:ascii="Tahoma" w:eastAsia="Times New Roman" w:hAnsi="Tahoma" w:cs="Tahoma"/>
                <w:b/>
                <w:bCs/>
                <w:sz w:val="20"/>
                <w:szCs w:val="20"/>
                <w:lang w:eastAsia="el-GR"/>
              </w:rPr>
            </w:pPr>
            <w:r w:rsidRPr="00D23046">
              <w:rPr>
                <w:rFonts w:ascii="Tahoma" w:eastAsia="Times New Roman" w:hAnsi="Tahoma" w:cs="Tahoma"/>
                <w:b/>
                <w:bCs/>
                <w:sz w:val="20"/>
                <w:szCs w:val="20"/>
                <w:lang w:eastAsia="el-GR"/>
              </w:rPr>
              <w:t>825.120</w:t>
            </w:r>
          </w:p>
        </w:tc>
      </w:tr>
    </w:tbl>
    <w:p w14:paraId="04F1AF8D" w14:textId="77777777" w:rsidR="00F11D4D" w:rsidRDefault="00F11D4D" w:rsidP="00F11D4D">
      <w:pPr>
        <w:spacing w:after="120" w:line="240" w:lineRule="auto"/>
        <w:jc w:val="both"/>
        <w:rPr>
          <w:rFonts w:ascii="Tahoma" w:hAnsi="Tahoma" w:cs="Tahoma"/>
          <w:sz w:val="20"/>
          <w:szCs w:val="20"/>
          <w:lang w:val="el-GR"/>
        </w:rPr>
      </w:pPr>
    </w:p>
    <w:p w14:paraId="501F1A16" w14:textId="77777777" w:rsidR="009D3B5A" w:rsidRPr="00F11D4D" w:rsidRDefault="009D3B5A" w:rsidP="00F11D4D">
      <w:pPr>
        <w:spacing w:after="120" w:line="240" w:lineRule="auto"/>
        <w:jc w:val="both"/>
        <w:rPr>
          <w:rFonts w:ascii="Tahoma" w:hAnsi="Tahoma" w:cs="Tahoma"/>
          <w:b/>
          <w:sz w:val="20"/>
          <w:szCs w:val="20"/>
          <w:lang w:val="el-GR"/>
        </w:rPr>
      </w:pPr>
      <w:r w:rsidRPr="00F11D4D">
        <w:rPr>
          <w:rFonts w:ascii="Tahoma" w:hAnsi="Tahoma" w:cs="Tahoma"/>
          <w:b/>
          <w:sz w:val="20"/>
          <w:szCs w:val="20"/>
          <w:lang w:val="el-GR"/>
        </w:rPr>
        <w:t>Συνεταίροι – Συνεταιριστικό Κεφάλαιο – Συνεταιριστική Μερίδα</w:t>
      </w:r>
    </w:p>
    <w:p w14:paraId="54388C37" w14:textId="77777777" w:rsidR="009D3B5A" w:rsidRPr="009D3B5A" w:rsidRDefault="009D3B5A" w:rsidP="009D3B5A">
      <w:pPr>
        <w:spacing w:after="120" w:line="240" w:lineRule="auto"/>
        <w:jc w:val="both"/>
        <w:rPr>
          <w:rFonts w:ascii="Tahoma" w:hAnsi="Tahoma" w:cs="Tahoma"/>
          <w:sz w:val="20"/>
          <w:szCs w:val="20"/>
          <w:lang w:val="el-GR"/>
        </w:rPr>
      </w:pPr>
      <w:r w:rsidRPr="009D3B5A">
        <w:rPr>
          <w:rFonts w:ascii="Tahoma" w:hAnsi="Tahoma" w:cs="Tahoma"/>
          <w:sz w:val="20"/>
          <w:szCs w:val="20"/>
          <w:lang w:val="el-GR"/>
        </w:rPr>
        <w:t>Οι συνεταίροι την 31 Δεκεμβρίου 2019 ανήλθαν στους 15.682 αυξημένοι κατά 8,5% σε σχέση με το προηγούμενο έτος. Μετά από γενική συνέλευση αποφασίστηκε η μείωση της ονομαστικής τιμής της μερίδας στα 25 ευρώ με τη διαφορά που προέκυψε να συμψηφίστηκε με τις ζημίες εις νέον της Τράπεζας.</w:t>
      </w:r>
    </w:p>
    <w:p w14:paraId="18680C19" w14:textId="77777777" w:rsidR="009D3B5A" w:rsidRPr="009D3B5A" w:rsidRDefault="009D3B5A" w:rsidP="009D3B5A">
      <w:pPr>
        <w:spacing w:after="120" w:line="240" w:lineRule="auto"/>
        <w:jc w:val="both"/>
        <w:rPr>
          <w:rFonts w:ascii="Tahoma" w:hAnsi="Tahoma" w:cs="Tahoma"/>
          <w:sz w:val="20"/>
          <w:szCs w:val="20"/>
          <w:lang w:val="el-GR"/>
        </w:rPr>
      </w:pPr>
      <w:r w:rsidRPr="009D3B5A">
        <w:rPr>
          <w:rFonts w:ascii="Tahoma" w:hAnsi="Tahoma" w:cs="Tahoma"/>
          <w:sz w:val="20"/>
          <w:szCs w:val="20"/>
          <w:lang w:val="el-GR"/>
        </w:rPr>
        <w:t>Κατά τη χρήση 2019 η Τράπεζα αύξησε κατά 1.222 άτομα τον αριθμό των συνεταίρων και οι νέες εισφορές συνεταιριστικού κεφαλαίου ανήλθαν στο ποσό των  οι οποίοι συνεισέφεραν στα κεφάλαια της το ποσό των 1,4 εκατομμυρίων ευρώ.</w:t>
      </w:r>
    </w:p>
    <w:p w14:paraId="6AA4E70F" w14:textId="77777777" w:rsidR="009D3B5A" w:rsidRPr="009D3B5A" w:rsidRDefault="009D3B5A" w:rsidP="009D3B5A">
      <w:pPr>
        <w:spacing w:after="120" w:line="240" w:lineRule="auto"/>
        <w:jc w:val="both"/>
        <w:rPr>
          <w:rFonts w:ascii="Tahoma" w:hAnsi="Tahoma" w:cs="Tahoma"/>
          <w:sz w:val="20"/>
          <w:szCs w:val="20"/>
          <w:lang w:val="el-GR"/>
        </w:rPr>
      </w:pPr>
    </w:p>
    <w:tbl>
      <w:tblPr>
        <w:tblW w:w="8785" w:type="dxa"/>
        <w:tblLook w:val="04A0" w:firstRow="1" w:lastRow="0" w:firstColumn="1" w:lastColumn="0" w:noHBand="0" w:noVBand="1"/>
      </w:tblPr>
      <w:tblGrid>
        <w:gridCol w:w="3085"/>
        <w:gridCol w:w="1211"/>
        <w:gridCol w:w="1211"/>
        <w:gridCol w:w="1211"/>
        <w:gridCol w:w="1211"/>
        <w:gridCol w:w="1102"/>
      </w:tblGrid>
      <w:tr w:rsidR="009D3B5A" w:rsidRPr="00D23046" w14:paraId="6CD42B00" w14:textId="77777777" w:rsidTr="009D3B5A">
        <w:trPr>
          <w:trHeight w:val="366"/>
        </w:trPr>
        <w:tc>
          <w:tcPr>
            <w:tcW w:w="3085" w:type="dxa"/>
            <w:tcBorders>
              <w:top w:val="nil"/>
              <w:left w:val="nil"/>
              <w:bottom w:val="nil"/>
              <w:right w:val="nil"/>
            </w:tcBorders>
            <w:shd w:val="clear" w:color="auto" w:fill="auto"/>
            <w:noWrap/>
            <w:vAlign w:val="center"/>
            <w:hideMark/>
          </w:tcPr>
          <w:p w14:paraId="53410B55" w14:textId="77777777" w:rsidR="009D3B5A" w:rsidRPr="00D23046" w:rsidRDefault="009D3B5A" w:rsidP="009D3B5A">
            <w:pPr>
              <w:rPr>
                <w:rFonts w:ascii="Tahoma" w:hAnsi="Tahoma" w:cs="Tahoma"/>
                <w:b/>
                <w:bCs/>
                <w:sz w:val="20"/>
                <w:szCs w:val="20"/>
              </w:rPr>
            </w:pPr>
            <w:r w:rsidRPr="00D23046">
              <w:rPr>
                <w:rFonts w:ascii="Tahoma" w:hAnsi="Tahoma" w:cs="Tahoma"/>
                <w:b/>
                <w:bCs/>
                <w:sz w:val="20"/>
                <w:szCs w:val="20"/>
              </w:rPr>
              <w:t>ΣΤΟΙΧΕΙΑ ΚΕΦΑΛΑΙΟΥ - ΚΕΡΔΩΝ</w:t>
            </w:r>
          </w:p>
        </w:tc>
        <w:tc>
          <w:tcPr>
            <w:tcW w:w="1166" w:type="dxa"/>
            <w:tcBorders>
              <w:top w:val="nil"/>
              <w:left w:val="nil"/>
              <w:bottom w:val="nil"/>
              <w:right w:val="nil"/>
            </w:tcBorders>
            <w:shd w:val="clear" w:color="auto" w:fill="auto"/>
            <w:noWrap/>
            <w:vAlign w:val="center"/>
            <w:hideMark/>
          </w:tcPr>
          <w:p w14:paraId="015C9067" w14:textId="77777777" w:rsidR="009D3B5A" w:rsidRPr="00D23046" w:rsidRDefault="009D3B5A" w:rsidP="009D3B5A">
            <w:pPr>
              <w:rPr>
                <w:rFonts w:ascii="Tahoma" w:hAnsi="Tahoma" w:cs="Tahoma"/>
                <w:b/>
                <w:bCs/>
                <w:sz w:val="20"/>
                <w:szCs w:val="20"/>
                <w:u w:val="single"/>
              </w:rPr>
            </w:pPr>
          </w:p>
        </w:tc>
        <w:tc>
          <w:tcPr>
            <w:tcW w:w="1166" w:type="dxa"/>
            <w:tcBorders>
              <w:top w:val="nil"/>
              <w:left w:val="nil"/>
              <w:bottom w:val="nil"/>
              <w:right w:val="nil"/>
            </w:tcBorders>
            <w:shd w:val="clear" w:color="auto" w:fill="auto"/>
            <w:noWrap/>
            <w:vAlign w:val="center"/>
            <w:hideMark/>
          </w:tcPr>
          <w:p w14:paraId="571C6EB2" w14:textId="77777777" w:rsidR="009D3B5A" w:rsidRPr="00D23046" w:rsidRDefault="009D3B5A" w:rsidP="009D3B5A">
            <w:pPr>
              <w:rPr>
                <w:rFonts w:ascii="Tahoma" w:hAnsi="Tahoma" w:cs="Tahoma"/>
                <w:sz w:val="20"/>
                <w:szCs w:val="20"/>
              </w:rPr>
            </w:pPr>
          </w:p>
        </w:tc>
        <w:tc>
          <w:tcPr>
            <w:tcW w:w="1166" w:type="dxa"/>
            <w:tcBorders>
              <w:top w:val="nil"/>
              <w:left w:val="nil"/>
              <w:bottom w:val="nil"/>
              <w:right w:val="nil"/>
            </w:tcBorders>
            <w:shd w:val="clear" w:color="auto" w:fill="auto"/>
            <w:noWrap/>
            <w:vAlign w:val="center"/>
            <w:hideMark/>
          </w:tcPr>
          <w:p w14:paraId="78CF941B" w14:textId="77777777" w:rsidR="009D3B5A" w:rsidRPr="00D23046" w:rsidRDefault="009D3B5A" w:rsidP="009D3B5A">
            <w:pPr>
              <w:rPr>
                <w:rFonts w:ascii="Tahoma" w:hAnsi="Tahoma" w:cs="Tahoma"/>
                <w:sz w:val="20"/>
                <w:szCs w:val="20"/>
              </w:rPr>
            </w:pPr>
          </w:p>
        </w:tc>
        <w:tc>
          <w:tcPr>
            <w:tcW w:w="1166" w:type="dxa"/>
            <w:tcBorders>
              <w:top w:val="nil"/>
              <w:left w:val="nil"/>
              <w:bottom w:val="nil"/>
              <w:right w:val="nil"/>
            </w:tcBorders>
            <w:shd w:val="clear" w:color="auto" w:fill="auto"/>
            <w:noWrap/>
            <w:vAlign w:val="center"/>
            <w:hideMark/>
          </w:tcPr>
          <w:p w14:paraId="4E71B543" w14:textId="77777777" w:rsidR="009D3B5A" w:rsidRPr="00D23046" w:rsidRDefault="009D3B5A" w:rsidP="009D3B5A">
            <w:pPr>
              <w:rPr>
                <w:rFonts w:ascii="Tahoma" w:hAnsi="Tahoma" w:cs="Tahoma"/>
                <w:sz w:val="20"/>
                <w:szCs w:val="20"/>
              </w:rPr>
            </w:pPr>
          </w:p>
        </w:tc>
        <w:tc>
          <w:tcPr>
            <w:tcW w:w="1036" w:type="dxa"/>
            <w:tcBorders>
              <w:top w:val="nil"/>
              <w:left w:val="nil"/>
              <w:bottom w:val="nil"/>
              <w:right w:val="nil"/>
            </w:tcBorders>
            <w:shd w:val="clear" w:color="auto" w:fill="auto"/>
            <w:noWrap/>
            <w:vAlign w:val="center"/>
            <w:hideMark/>
          </w:tcPr>
          <w:p w14:paraId="7B43A314" w14:textId="77777777" w:rsidR="009D3B5A" w:rsidRPr="00D23046" w:rsidRDefault="009D3B5A" w:rsidP="009D3B5A">
            <w:pPr>
              <w:rPr>
                <w:rFonts w:ascii="Tahoma" w:hAnsi="Tahoma" w:cs="Tahoma"/>
                <w:sz w:val="20"/>
                <w:szCs w:val="20"/>
              </w:rPr>
            </w:pPr>
          </w:p>
        </w:tc>
      </w:tr>
      <w:tr w:rsidR="009D3B5A" w:rsidRPr="00D23046" w14:paraId="1A59173C" w14:textId="77777777" w:rsidTr="009D3B5A">
        <w:trPr>
          <w:trHeight w:val="366"/>
        </w:trPr>
        <w:tc>
          <w:tcPr>
            <w:tcW w:w="3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29F34" w14:textId="77777777" w:rsidR="009D3B5A" w:rsidRPr="00D23046" w:rsidRDefault="009D3B5A" w:rsidP="009D3B5A">
            <w:pPr>
              <w:rPr>
                <w:rFonts w:ascii="Tahoma" w:hAnsi="Tahoma" w:cs="Tahoma"/>
                <w:sz w:val="20"/>
                <w:szCs w:val="20"/>
              </w:rPr>
            </w:pPr>
            <w:r w:rsidRPr="00D23046">
              <w:rPr>
                <w:rFonts w:ascii="Tahoma" w:hAnsi="Tahoma" w:cs="Tahoma"/>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14:paraId="08225FA4" w14:textId="77777777" w:rsidR="009D3B5A" w:rsidRPr="00D23046" w:rsidRDefault="009D3B5A" w:rsidP="009D3B5A">
            <w:pPr>
              <w:jc w:val="center"/>
              <w:rPr>
                <w:rFonts w:ascii="Tahoma" w:hAnsi="Tahoma" w:cs="Tahoma"/>
                <w:sz w:val="20"/>
                <w:szCs w:val="20"/>
              </w:rPr>
            </w:pPr>
            <w:r w:rsidRPr="00D23046">
              <w:rPr>
                <w:rFonts w:ascii="Tahoma" w:hAnsi="Tahoma" w:cs="Tahoma"/>
                <w:sz w:val="20"/>
                <w:szCs w:val="20"/>
              </w:rPr>
              <w:t>2015</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14:paraId="29BBD093" w14:textId="77777777" w:rsidR="009D3B5A" w:rsidRPr="00D23046" w:rsidRDefault="009D3B5A" w:rsidP="009D3B5A">
            <w:pPr>
              <w:jc w:val="center"/>
              <w:rPr>
                <w:rFonts w:ascii="Tahoma" w:hAnsi="Tahoma" w:cs="Tahoma"/>
                <w:sz w:val="20"/>
                <w:szCs w:val="20"/>
              </w:rPr>
            </w:pPr>
            <w:r w:rsidRPr="00D23046">
              <w:rPr>
                <w:rFonts w:ascii="Tahoma" w:hAnsi="Tahoma" w:cs="Tahoma"/>
                <w:sz w:val="20"/>
                <w:szCs w:val="20"/>
              </w:rPr>
              <w:t>2016</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14:paraId="253D6182" w14:textId="77777777" w:rsidR="009D3B5A" w:rsidRPr="00D23046" w:rsidRDefault="009D3B5A" w:rsidP="009D3B5A">
            <w:pPr>
              <w:jc w:val="center"/>
              <w:rPr>
                <w:rFonts w:ascii="Tahoma" w:hAnsi="Tahoma" w:cs="Tahoma"/>
                <w:sz w:val="20"/>
                <w:szCs w:val="20"/>
              </w:rPr>
            </w:pPr>
            <w:r w:rsidRPr="00D23046">
              <w:rPr>
                <w:rFonts w:ascii="Tahoma" w:hAnsi="Tahoma" w:cs="Tahoma"/>
                <w:sz w:val="20"/>
                <w:szCs w:val="20"/>
              </w:rPr>
              <w:t>2017</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14:paraId="3ED2845B" w14:textId="77777777" w:rsidR="009D3B5A" w:rsidRPr="00D23046" w:rsidRDefault="009D3B5A" w:rsidP="009D3B5A">
            <w:pPr>
              <w:jc w:val="center"/>
              <w:rPr>
                <w:rFonts w:ascii="Tahoma" w:hAnsi="Tahoma" w:cs="Tahoma"/>
                <w:sz w:val="20"/>
                <w:szCs w:val="20"/>
              </w:rPr>
            </w:pPr>
            <w:r w:rsidRPr="00D23046">
              <w:rPr>
                <w:rFonts w:ascii="Tahoma" w:hAnsi="Tahoma" w:cs="Tahoma"/>
                <w:sz w:val="20"/>
                <w:szCs w:val="20"/>
              </w:rPr>
              <w:t>2018</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2D2C5F84" w14:textId="77777777" w:rsidR="009D3B5A" w:rsidRPr="00D23046" w:rsidRDefault="009D3B5A" w:rsidP="009D3B5A">
            <w:pPr>
              <w:jc w:val="center"/>
              <w:rPr>
                <w:rFonts w:ascii="Tahoma" w:hAnsi="Tahoma" w:cs="Tahoma"/>
                <w:sz w:val="20"/>
                <w:szCs w:val="20"/>
              </w:rPr>
            </w:pPr>
            <w:r w:rsidRPr="00D23046">
              <w:rPr>
                <w:rFonts w:ascii="Tahoma" w:hAnsi="Tahoma" w:cs="Tahoma"/>
                <w:sz w:val="20"/>
                <w:szCs w:val="20"/>
              </w:rPr>
              <w:t>2019</w:t>
            </w:r>
          </w:p>
        </w:tc>
      </w:tr>
      <w:tr w:rsidR="009D3B5A" w:rsidRPr="00D23046" w14:paraId="5DBD6030" w14:textId="77777777" w:rsidTr="009D3B5A">
        <w:trPr>
          <w:trHeight w:val="366"/>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66DD08D3" w14:textId="77777777" w:rsidR="009D3B5A" w:rsidRPr="00D23046" w:rsidRDefault="009D3B5A" w:rsidP="009D3B5A">
            <w:pPr>
              <w:rPr>
                <w:rFonts w:ascii="Tahoma" w:hAnsi="Tahoma" w:cs="Tahoma"/>
                <w:sz w:val="20"/>
                <w:szCs w:val="20"/>
              </w:rPr>
            </w:pPr>
            <w:proofErr w:type="spellStart"/>
            <w:r w:rsidRPr="00D23046">
              <w:rPr>
                <w:rFonts w:ascii="Tahoma" w:hAnsi="Tahoma" w:cs="Tahoma"/>
                <w:sz w:val="20"/>
                <w:szCs w:val="20"/>
              </w:rPr>
              <w:t>Αριθμός</w:t>
            </w:r>
            <w:proofErr w:type="spellEnd"/>
            <w:r w:rsidRPr="00D23046">
              <w:rPr>
                <w:rFonts w:ascii="Tahoma" w:hAnsi="Tahoma" w:cs="Tahoma"/>
                <w:sz w:val="20"/>
                <w:szCs w:val="20"/>
              </w:rPr>
              <w:t xml:space="preserve"> Συνετα</w:t>
            </w:r>
            <w:proofErr w:type="spellStart"/>
            <w:r w:rsidRPr="00D23046">
              <w:rPr>
                <w:rFonts w:ascii="Tahoma" w:hAnsi="Tahoma" w:cs="Tahoma"/>
                <w:sz w:val="20"/>
                <w:szCs w:val="20"/>
              </w:rPr>
              <w:t>ίρων</w:t>
            </w:r>
            <w:proofErr w:type="spellEnd"/>
          </w:p>
        </w:tc>
        <w:tc>
          <w:tcPr>
            <w:tcW w:w="1166" w:type="dxa"/>
            <w:tcBorders>
              <w:top w:val="nil"/>
              <w:left w:val="nil"/>
              <w:bottom w:val="single" w:sz="4" w:space="0" w:color="auto"/>
              <w:right w:val="single" w:sz="4" w:space="0" w:color="auto"/>
            </w:tcBorders>
            <w:shd w:val="clear" w:color="auto" w:fill="auto"/>
            <w:noWrap/>
            <w:vAlign w:val="center"/>
            <w:hideMark/>
          </w:tcPr>
          <w:p w14:paraId="48A8710D" w14:textId="77777777" w:rsidR="009D3B5A" w:rsidRPr="00D23046" w:rsidRDefault="009D3B5A" w:rsidP="009D3B5A">
            <w:pPr>
              <w:jc w:val="right"/>
              <w:rPr>
                <w:rFonts w:ascii="Tahoma" w:hAnsi="Tahoma" w:cs="Tahoma"/>
                <w:sz w:val="20"/>
                <w:szCs w:val="20"/>
              </w:rPr>
            </w:pPr>
            <w:r w:rsidRPr="00D23046">
              <w:rPr>
                <w:rFonts w:ascii="Tahoma" w:hAnsi="Tahoma" w:cs="Tahoma"/>
                <w:sz w:val="20"/>
                <w:szCs w:val="20"/>
              </w:rPr>
              <w:t>12.015</w:t>
            </w:r>
          </w:p>
        </w:tc>
        <w:tc>
          <w:tcPr>
            <w:tcW w:w="1166" w:type="dxa"/>
            <w:tcBorders>
              <w:top w:val="nil"/>
              <w:left w:val="nil"/>
              <w:bottom w:val="single" w:sz="4" w:space="0" w:color="auto"/>
              <w:right w:val="single" w:sz="4" w:space="0" w:color="auto"/>
            </w:tcBorders>
            <w:shd w:val="clear" w:color="auto" w:fill="auto"/>
            <w:noWrap/>
            <w:vAlign w:val="center"/>
            <w:hideMark/>
          </w:tcPr>
          <w:p w14:paraId="0105D6DE" w14:textId="77777777" w:rsidR="009D3B5A" w:rsidRPr="00D23046" w:rsidRDefault="009D3B5A" w:rsidP="009D3B5A">
            <w:pPr>
              <w:jc w:val="right"/>
              <w:rPr>
                <w:rFonts w:ascii="Tahoma" w:hAnsi="Tahoma" w:cs="Tahoma"/>
                <w:sz w:val="20"/>
                <w:szCs w:val="20"/>
              </w:rPr>
            </w:pPr>
            <w:r w:rsidRPr="00D23046">
              <w:rPr>
                <w:rFonts w:ascii="Tahoma" w:hAnsi="Tahoma" w:cs="Tahoma"/>
                <w:sz w:val="20"/>
                <w:szCs w:val="20"/>
              </w:rPr>
              <w:t>12.680</w:t>
            </w:r>
          </w:p>
        </w:tc>
        <w:tc>
          <w:tcPr>
            <w:tcW w:w="1166" w:type="dxa"/>
            <w:tcBorders>
              <w:top w:val="nil"/>
              <w:left w:val="nil"/>
              <w:bottom w:val="single" w:sz="4" w:space="0" w:color="auto"/>
              <w:right w:val="single" w:sz="4" w:space="0" w:color="auto"/>
            </w:tcBorders>
            <w:shd w:val="clear" w:color="auto" w:fill="auto"/>
            <w:noWrap/>
            <w:vAlign w:val="center"/>
            <w:hideMark/>
          </w:tcPr>
          <w:p w14:paraId="5810BFA4" w14:textId="77777777" w:rsidR="009D3B5A" w:rsidRPr="00D23046" w:rsidRDefault="009D3B5A" w:rsidP="009D3B5A">
            <w:pPr>
              <w:jc w:val="right"/>
              <w:rPr>
                <w:rFonts w:ascii="Tahoma" w:hAnsi="Tahoma" w:cs="Tahoma"/>
                <w:sz w:val="20"/>
                <w:szCs w:val="20"/>
              </w:rPr>
            </w:pPr>
            <w:r w:rsidRPr="00D23046">
              <w:rPr>
                <w:rFonts w:ascii="Tahoma" w:hAnsi="Tahoma" w:cs="Tahoma"/>
                <w:sz w:val="20"/>
                <w:szCs w:val="20"/>
              </w:rPr>
              <w:t>13.510</w:t>
            </w:r>
          </w:p>
        </w:tc>
        <w:tc>
          <w:tcPr>
            <w:tcW w:w="1166" w:type="dxa"/>
            <w:tcBorders>
              <w:top w:val="nil"/>
              <w:left w:val="nil"/>
              <w:bottom w:val="single" w:sz="4" w:space="0" w:color="auto"/>
              <w:right w:val="single" w:sz="4" w:space="0" w:color="auto"/>
            </w:tcBorders>
            <w:shd w:val="clear" w:color="auto" w:fill="auto"/>
            <w:noWrap/>
            <w:vAlign w:val="center"/>
            <w:hideMark/>
          </w:tcPr>
          <w:p w14:paraId="1594CAE0" w14:textId="77777777" w:rsidR="009D3B5A" w:rsidRPr="00D23046" w:rsidRDefault="009D3B5A" w:rsidP="009D3B5A">
            <w:pPr>
              <w:jc w:val="right"/>
              <w:rPr>
                <w:rFonts w:ascii="Tahoma" w:hAnsi="Tahoma" w:cs="Tahoma"/>
                <w:sz w:val="20"/>
                <w:szCs w:val="20"/>
              </w:rPr>
            </w:pPr>
            <w:r w:rsidRPr="00D23046">
              <w:rPr>
                <w:rFonts w:ascii="Tahoma" w:hAnsi="Tahoma" w:cs="Tahoma"/>
                <w:sz w:val="20"/>
                <w:szCs w:val="20"/>
              </w:rPr>
              <w:t>14.460</w:t>
            </w:r>
          </w:p>
        </w:tc>
        <w:tc>
          <w:tcPr>
            <w:tcW w:w="1036" w:type="dxa"/>
            <w:tcBorders>
              <w:top w:val="nil"/>
              <w:left w:val="nil"/>
              <w:bottom w:val="single" w:sz="4" w:space="0" w:color="auto"/>
              <w:right w:val="single" w:sz="4" w:space="0" w:color="auto"/>
            </w:tcBorders>
            <w:shd w:val="clear" w:color="auto" w:fill="auto"/>
            <w:noWrap/>
            <w:vAlign w:val="center"/>
            <w:hideMark/>
          </w:tcPr>
          <w:p w14:paraId="0837BF95" w14:textId="77777777" w:rsidR="009D3B5A" w:rsidRPr="00D23046" w:rsidRDefault="009D3B5A" w:rsidP="009D3B5A">
            <w:pPr>
              <w:jc w:val="right"/>
              <w:rPr>
                <w:rFonts w:ascii="Tahoma" w:hAnsi="Tahoma" w:cs="Tahoma"/>
                <w:sz w:val="20"/>
                <w:szCs w:val="20"/>
              </w:rPr>
            </w:pPr>
            <w:r w:rsidRPr="00D23046">
              <w:rPr>
                <w:rFonts w:ascii="Tahoma" w:hAnsi="Tahoma" w:cs="Tahoma"/>
                <w:sz w:val="20"/>
                <w:szCs w:val="20"/>
              </w:rPr>
              <w:t>15.682</w:t>
            </w:r>
          </w:p>
        </w:tc>
      </w:tr>
      <w:tr w:rsidR="009D3B5A" w:rsidRPr="00D23046" w14:paraId="4EF276C6" w14:textId="77777777" w:rsidTr="009D3B5A">
        <w:trPr>
          <w:trHeight w:val="366"/>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451FFFF5" w14:textId="77777777" w:rsidR="009D3B5A" w:rsidRPr="00D23046" w:rsidRDefault="009D3B5A" w:rsidP="009D3B5A">
            <w:pPr>
              <w:rPr>
                <w:rFonts w:ascii="Tahoma" w:hAnsi="Tahoma" w:cs="Tahoma"/>
                <w:sz w:val="20"/>
                <w:szCs w:val="20"/>
              </w:rPr>
            </w:pPr>
            <w:proofErr w:type="spellStart"/>
            <w:r w:rsidRPr="00D23046">
              <w:rPr>
                <w:rFonts w:ascii="Tahoma" w:hAnsi="Tahoma" w:cs="Tahoma"/>
                <w:sz w:val="20"/>
                <w:szCs w:val="20"/>
              </w:rPr>
              <w:t>Αριθμός</w:t>
            </w:r>
            <w:proofErr w:type="spellEnd"/>
            <w:r w:rsidRPr="00D23046">
              <w:rPr>
                <w:rFonts w:ascii="Tahoma" w:hAnsi="Tahoma" w:cs="Tahoma"/>
                <w:sz w:val="20"/>
                <w:szCs w:val="20"/>
              </w:rPr>
              <w:t xml:space="preserve"> Συνετα</w:t>
            </w:r>
            <w:proofErr w:type="spellStart"/>
            <w:r w:rsidRPr="00D23046">
              <w:rPr>
                <w:rFonts w:ascii="Tahoma" w:hAnsi="Tahoma" w:cs="Tahoma"/>
                <w:sz w:val="20"/>
                <w:szCs w:val="20"/>
              </w:rPr>
              <w:t>ιριστικών</w:t>
            </w:r>
            <w:proofErr w:type="spellEnd"/>
            <w:r w:rsidRPr="00D23046">
              <w:rPr>
                <w:rFonts w:ascii="Tahoma" w:hAnsi="Tahoma" w:cs="Tahoma"/>
                <w:sz w:val="20"/>
                <w:szCs w:val="20"/>
              </w:rPr>
              <w:t xml:space="preserve"> </w:t>
            </w:r>
            <w:proofErr w:type="spellStart"/>
            <w:r w:rsidRPr="00D23046">
              <w:rPr>
                <w:rFonts w:ascii="Tahoma" w:hAnsi="Tahoma" w:cs="Tahoma"/>
                <w:sz w:val="20"/>
                <w:szCs w:val="20"/>
              </w:rPr>
              <w:t>Μερίδων</w:t>
            </w:r>
            <w:proofErr w:type="spellEnd"/>
          </w:p>
        </w:tc>
        <w:tc>
          <w:tcPr>
            <w:tcW w:w="1166" w:type="dxa"/>
            <w:tcBorders>
              <w:top w:val="nil"/>
              <w:left w:val="nil"/>
              <w:bottom w:val="single" w:sz="4" w:space="0" w:color="auto"/>
              <w:right w:val="single" w:sz="4" w:space="0" w:color="auto"/>
            </w:tcBorders>
            <w:shd w:val="clear" w:color="auto" w:fill="auto"/>
            <w:noWrap/>
            <w:vAlign w:val="center"/>
            <w:hideMark/>
          </w:tcPr>
          <w:p w14:paraId="77AB30C5" w14:textId="77777777" w:rsidR="009D3B5A" w:rsidRPr="00D23046" w:rsidRDefault="009D3B5A" w:rsidP="009D3B5A">
            <w:pPr>
              <w:jc w:val="right"/>
              <w:rPr>
                <w:rFonts w:ascii="Tahoma" w:hAnsi="Tahoma" w:cs="Tahoma"/>
                <w:sz w:val="20"/>
                <w:szCs w:val="20"/>
              </w:rPr>
            </w:pPr>
            <w:r w:rsidRPr="00D23046">
              <w:rPr>
                <w:rFonts w:ascii="Tahoma" w:hAnsi="Tahoma" w:cs="Tahoma"/>
                <w:sz w:val="20"/>
                <w:szCs w:val="20"/>
              </w:rPr>
              <w:t>326.187</w:t>
            </w:r>
          </w:p>
        </w:tc>
        <w:tc>
          <w:tcPr>
            <w:tcW w:w="1166" w:type="dxa"/>
            <w:tcBorders>
              <w:top w:val="nil"/>
              <w:left w:val="nil"/>
              <w:bottom w:val="single" w:sz="4" w:space="0" w:color="auto"/>
              <w:right w:val="single" w:sz="4" w:space="0" w:color="auto"/>
            </w:tcBorders>
            <w:shd w:val="clear" w:color="auto" w:fill="auto"/>
            <w:noWrap/>
            <w:vAlign w:val="center"/>
            <w:hideMark/>
          </w:tcPr>
          <w:p w14:paraId="7D7ADC71" w14:textId="77777777" w:rsidR="009D3B5A" w:rsidRPr="00D23046" w:rsidRDefault="009D3B5A" w:rsidP="009D3B5A">
            <w:pPr>
              <w:jc w:val="right"/>
              <w:rPr>
                <w:rFonts w:ascii="Tahoma" w:hAnsi="Tahoma" w:cs="Tahoma"/>
                <w:sz w:val="20"/>
                <w:szCs w:val="20"/>
              </w:rPr>
            </w:pPr>
            <w:r w:rsidRPr="00D23046">
              <w:rPr>
                <w:rFonts w:ascii="Tahoma" w:hAnsi="Tahoma" w:cs="Tahoma"/>
                <w:sz w:val="20"/>
                <w:szCs w:val="20"/>
              </w:rPr>
              <w:t>329.724</w:t>
            </w:r>
          </w:p>
        </w:tc>
        <w:tc>
          <w:tcPr>
            <w:tcW w:w="1166" w:type="dxa"/>
            <w:tcBorders>
              <w:top w:val="nil"/>
              <w:left w:val="nil"/>
              <w:bottom w:val="single" w:sz="4" w:space="0" w:color="auto"/>
              <w:right w:val="single" w:sz="4" w:space="0" w:color="auto"/>
            </w:tcBorders>
            <w:shd w:val="clear" w:color="auto" w:fill="auto"/>
            <w:noWrap/>
            <w:vAlign w:val="center"/>
            <w:hideMark/>
          </w:tcPr>
          <w:p w14:paraId="6D67C406" w14:textId="77777777" w:rsidR="009D3B5A" w:rsidRPr="00D23046" w:rsidRDefault="009D3B5A" w:rsidP="009D3B5A">
            <w:pPr>
              <w:jc w:val="right"/>
              <w:rPr>
                <w:rFonts w:ascii="Tahoma" w:hAnsi="Tahoma" w:cs="Tahoma"/>
                <w:sz w:val="20"/>
                <w:szCs w:val="20"/>
              </w:rPr>
            </w:pPr>
            <w:r w:rsidRPr="00D23046">
              <w:rPr>
                <w:rFonts w:ascii="Tahoma" w:hAnsi="Tahoma" w:cs="Tahoma"/>
                <w:sz w:val="20"/>
                <w:szCs w:val="20"/>
              </w:rPr>
              <w:t>334.136</w:t>
            </w:r>
          </w:p>
        </w:tc>
        <w:tc>
          <w:tcPr>
            <w:tcW w:w="1166" w:type="dxa"/>
            <w:tcBorders>
              <w:top w:val="nil"/>
              <w:left w:val="nil"/>
              <w:bottom w:val="single" w:sz="4" w:space="0" w:color="auto"/>
              <w:right w:val="single" w:sz="4" w:space="0" w:color="auto"/>
            </w:tcBorders>
            <w:shd w:val="clear" w:color="auto" w:fill="auto"/>
            <w:noWrap/>
            <w:vAlign w:val="center"/>
            <w:hideMark/>
          </w:tcPr>
          <w:p w14:paraId="40D80674" w14:textId="77777777" w:rsidR="009D3B5A" w:rsidRPr="00D23046" w:rsidRDefault="009D3B5A" w:rsidP="009D3B5A">
            <w:pPr>
              <w:jc w:val="right"/>
              <w:rPr>
                <w:rFonts w:ascii="Tahoma" w:hAnsi="Tahoma" w:cs="Tahoma"/>
                <w:sz w:val="20"/>
                <w:szCs w:val="20"/>
              </w:rPr>
            </w:pPr>
            <w:r w:rsidRPr="00D23046">
              <w:rPr>
                <w:rFonts w:ascii="Tahoma" w:hAnsi="Tahoma" w:cs="Tahoma"/>
                <w:sz w:val="20"/>
                <w:szCs w:val="20"/>
              </w:rPr>
              <w:t>344.282</w:t>
            </w:r>
          </w:p>
        </w:tc>
        <w:tc>
          <w:tcPr>
            <w:tcW w:w="1036" w:type="dxa"/>
            <w:tcBorders>
              <w:top w:val="nil"/>
              <w:left w:val="nil"/>
              <w:bottom w:val="single" w:sz="4" w:space="0" w:color="auto"/>
              <w:right w:val="single" w:sz="4" w:space="0" w:color="auto"/>
            </w:tcBorders>
            <w:shd w:val="clear" w:color="auto" w:fill="auto"/>
            <w:noWrap/>
            <w:vAlign w:val="center"/>
            <w:hideMark/>
          </w:tcPr>
          <w:p w14:paraId="3A7C55C0" w14:textId="77777777" w:rsidR="009D3B5A" w:rsidRPr="00D23046" w:rsidRDefault="009D3B5A" w:rsidP="009D3B5A">
            <w:pPr>
              <w:jc w:val="right"/>
              <w:rPr>
                <w:rFonts w:ascii="Tahoma" w:hAnsi="Tahoma" w:cs="Tahoma"/>
                <w:sz w:val="20"/>
                <w:szCs w:val="20"/>
              </w:rPr>
            </w:pPr>
            <w:r w:rsidRPr="00D23046">
              <w:rPr>
                <w:rFonts w:ascii="Tahoma" w:hAnsi="Tahoma" w:cs="Tahoma"/>
                <w:sz w:val="20"/>
                <w:szCs w:val="20"/>
              </w:rPr>
              <w:t>393.020</w:t>
            </w:r>
          </w:p>
        </w:tc>
      </w:tr>
      <w:tr w:rsidR="009D3B5A" w:rsidRPr="00D23046" w14:paraId="3AFDD5DE" w14:textId="77777777" w:rsidTr="009D3B5A">
        <w:trPr>
          <w:trHeight w:val="366"/>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46C36378" w14:textId="77777777" w:rsidR="009D3B5A" w:rsidRPr="00D23046" w:rsidRDefault="009D3B5A" w:rsidP="009D3B5A">
            <w:pPr>
              <w:rPr>
                <w:rFonts w:ascii="Tahoma" w:hAnsi="Tahoma" w:cs="Tahoma"/>
                <w:sz w:val="20"/>
                <w:szCs w:val="20"/>
              </w:rPr>
            </w:pPr>
            <w:r w:rsidRPr="00D23046">
              <w:rPr>
                <w:rFonts w:ascii="Tahoma" w:hAnsi="Tahoma" w:cs="Tahoma"/>
                <w:sz w:val="20"/>
                <w:szCs w:val="20"/>
              </w:rPr>
              <w:t xml:space="preserve">Συνεταιριστικό </w:t>
            </w:r>
            <w:proofErr w:type="spellStart"/>
            <w:r w:rsidRPr="00D23046">
              <w:rPr>
                <w:rFonts w:ascii="Tahoma" w:hAnsi="Tahoma" w:cs="Tahoma"/>
                <w:sz w:val="20"/>
                <w:szCs w:val="20"/>
              </w:rPr>
              <w:t>κεφάλ</w:t>
            </w:r>
            <w:proofErr w:type="spellEnd"/>
            <w:r w:rsidRPr="00D23046">
              <w:rPr>
                <w:rFonts w:ascii="Tahoma" w:hAnsi="Tahoma" w:cs="Tahoma"/>
                <w:sz w:val="20"/>
                <w:szCs w:val="20"/>
              </w:rPr>
              <w:t>αιο</w:t>
            </w:r>
          </w:p>
        </w:tc>
        <w:tc>
          <w:tcPr>
            <w:tcW w:w="1166" w:type="dxa"/>
            <w:tcBorders>
              <w:top w:val="nil"/>
              <w:left w:val="nil"/>
              <w:bottom w:val="single" w:sz="4" w:space="0" w:color="auto"/>
              <w:right w:val="single" w:sz="4" w:space="0" w:color="auto"/>
            </w:tcBorders>
            <w:shd w:val="clear" w:color="auto" w:fill="auto"/>
            <w:noWrap/>
            <w:vAlign w:val="center"/>
            <w:hideMark/>
          </w:tcPr>
          <w:p w14:paraId="50CBCEC1" w14:textId="77777777" w:rsidR="009D3B5A" w:rsidRPr="00D23046" w:rsidRDefault="009D3B5A" w:rsidP="009D3B5A">
            <w:pPr>
              <w:jc w:val="right"/>
              <w:rPr>
                <w:rFonts w:ascii="Tahoma" w:hAnsi="Tahoma" w:cs="Tahoma"/>
                <w:sz w:val="20"/>
                <w:szCs w:val="20"/>
              </w:rPr>
            </w:pPr>
            <w:r w:rsidRPr="00D23046">
              <w:rPr>
                <w:rFonts w:ascii="Tahoma" w:hAnsi="Tahoma" w:cs="Tahoma"/>
                <w:sz w:val="20"/>
                <w:szCs w:val="20"/>
              </w:rPr>
              <w:t>11.967.818</w:t>
            </w:r>
          </w:p>
        </w:tc>
        <w:tc>
          <w:tcPr>
            <w:tcW w:w="1166" w:type="dxa"/>
            <w:tcBorders>
              <w:top w:val="nil"/>
              <w:left w:val="nil"/>
              <w:bottom w:val="single" w:sz="4" w:space="0" w:color="auto"/>
              <w:right w:val="single" w:sz="4" w:space="0" w:color="auto"/>
            </w:tcBorders>
            <w:shd w:val="clear" w:color="auto" w:fill="auto"/>
            <w:noWrap/>
            <w:vAlign w:val="center"/>
            <w:hideMark/>
          </w:tcPr>
          <w:p w14:paraId="35C7ABFD" w14:textId="77777777" w:rsidR="009D3B5A" w:rsidRPr="00D23046" w:rsidRDefault="009D3B5A" w:rsidP="009D3B5A">
            <w:pPr>
              <w:jc w:val="right"/>
              <w:rPr>
                <w:rFonts w:ascii="Tahoma" w:hAnsi="Tahoma" w:cs="Tahoma"/>
                <w:sz w:val="20"/>
                <w:szCs w:val="20"/>
              </w:rPr>
            </w:pPr>
            <w:r w:rsidRPr="00D23046">
              <w:rPr>
                <w:rFonts w:ascii="Tahoma" w:hAnsi="Tahoma" w:cs="Tahoma"/>
                <w:sz w:val="20"/>
                <w:szCs w:val="20"/>
              </w:rPr>
              <w:t>12.097.574</w:t>
            </w:r>
          </w:p>
        </w:tc>
        <w:tc>
          <w:tcPr>
            <w:tcW w:w="1166" w:type="dxa"/>
            <w:tcBorders>
              <w:top w:val="nil"/>
              <w:left w:val="nil"/>
              <w:bottom w:val="single" w:sz="4" w:space="0" w:color="auto"/>
              <w:right w:val="single" w:sz="4" w:space="0" w:color="auto"/>
            </w:tcBorders>
            <w:shd w:val="clear" w:color="auto" w:fill="auto"/>
            <w:noWrap/>
            <w:vAlign w:val="center"/>
            <w:hideMark/>
          </w:tcPr>
          <w:p w14:paraId="481DD5A3" w14:textId="77777777" w:rsidR="009D3B5A" w:rsidRPr="00D23046" w:rsidRDefault="009D3B5A" w:rsidP="009D3B5A">
            <w:pPr>
              <w:jc w:val="right"/>
              <w:rPr>
                <w:rFonts w:ascii="Tahoma" w:hAnsi="Tahoma" w:cs="Tahoma"/>
                <w:sz w:val="20"/>
                <w:szCs w:val="20"/>
              </w:rPr>
            </w:pPr>
            <w:r w:rsidRPr="00D23046">
              <w:rPr>
                <w:rFonts w:ascii="Tahoma" w:hAnsi="Tahoma" w:cs="Tahoma"/>
                <w:sz w:val="20"/>
                <w:szCs w:val="20"/>
              </w:rPr>
              <w:t>12.259.448</w:t>
            </w:r>
          </w:p>
        </w:tc>
        <w:tc>
          <w:tcPr>
            <w:tcW w:w="1166" w:type="dxa"/>
            <w:tcBorders>
              <w:top w:val="nil"/>
              <w:left w:val="nil"/>
              <w:bottom w:val="single" w:sz="4" w:space="0" w:color="auto"/>
              <w:right w:val="single" w:sz="4" w:space="0" w:color="auto"/>
            </w:tcBorders>
            <w:shd w:val="clear" w:color="auto" w:fill="auto"/>
            <w:noWrap/>
            <w:vAlign w:val="center"/>
            <w:hideMark/>
          </w:tcPr>
          <w:p w14:paraId="3B99A80E" w14:textId="77777777" w:rsidR="009D3B5A" w:rsidRPr="00D23046" w:rsidRDefault="009D3B5A" w:rsidP="009D3B5A">
            <w:pPr>
              <w:jc w:val="right"/>
              <w:rPr>
                <w:rFonts w:ascii="Tahoma" w:hAnsi="Tahoma" w:cs="Tahoma"/>
                <w:sz w:val="20"/>
                <w:szCs w:val="20"/>
              </w:rPr>
            </w:pPr>
            <w:r w:rsidRPr="00D23046">
              <w:rPr>
                <w:rFonts w:ascii="Tahoma" w:hAnsi="Tahoma" w:cs="Tahoma"/>
                <w:sz w:val="20"/>
                <w:szCs w:val="20"/>
              </w:rPr>
              <w:t>12.615.424</w:t>
            </w:r>
          </w:p>
        </w:tc>
        <w:tc>
          <w:tcPr>
            <w:tcW w:w="1036" w:type="dxa"/>
            <w:tcBorders>
              <w:top w:val="nil"/>
              <w:left w:val="nil"/>
              <w:bottom w:val="single" w:sz="4" w:space="0" w:color="auto"/>
              <w:right w:val="single" w:sz="4" w:space="0" w:color="auto"/>
            </w:tcBorders>
            <w:shd w:val="clear" w:color="auto" w:fill="auto"/>
            <w:noWrap/>
            <w:vAlign w:val="center"/>
            <w:hideMark/>
          </w:tcPr>
          <w:p w14:paraId="10D0F2C3" w14:textId="77777777" w:rsidR="009D3B5A" w:rsidRPr="00D23046" w:rsidRDefault="009D3B5A" w:rsidP="009D3B5A">
            <w:pPr>
              <w:jc w:val="right"/>
              <w:rPr>
                <w:rFonts w:ascii="Tahoma" w:hAnsi="Tahoma" w:cs="Tahoma"/>
                <w:sz w:val="20"/>
                <w:szCs w:val="20"/>
              </w:rPr>
            </w:pPr>
            <w:r w:rsidRPr="00D23046">
              <w:rPr>
                <w:rFonts w:ascii="Tahoma" w:hAnsi="Tahoma" w:cs="Tahoma"/>
                <w:sz w:val="20"/>
                <w:szCs w:val="20"/>
              </w:rPr>
              <w:t>9.825.500</w:t>
            </w:r>
          </w:p>
        </w:tc>
      </w:tr>
      <w:tr w:rsidR="009D3B5A" w:rsidRPr="00D23046" w14:paraId="6BA053FD" w14:textId="77777777" w:rsidTr="009D3B5A">
        <w:trPr>
          <w:trHeight w:val="366"/>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14:paraId="370273E0" w14:textId="77777777" w:rsidR="009D3B5A" w:rsidRPr="009D3B5A" w:rsidRDefault="009D3B5A" w:rsidP="009D3B5A">
            <w:pPr>
              <w:rPr>
                <w:rFonts w:ascii="Tahoma" w:hAnsi="Tahoma" w:cs="Tahoma"/>
                <w:sz w:val="20"/>
                <w:szCs w:val="20"/>
                <w:lang w:val="el-GR"/>
              </w:rPr>
            </w:pPr>
            <w:r w:rsidRPr="009D3B5A">
              <w:rPr>
                <w:rFonts w:ascii="Tahoma" w:hAnsi="Tahoma" w:cs="Tahoma"/>
                <w:sz w:val="20"/>
                <w:szCs w:val="20"/>
                <w:lang w:val="el-GR"/>
              </w:rPr>
              <w:t>Μέση αναλογία μερίδων ανά συνεταίρο</w:t>
            </w:r>
          </w:p>
        </w:tc>
        <w:tc>
          <w:tcPr>
            <w:tcW w:w="1166" w:type="dxa"/>
            <w:tcBorders>
              <w:top w:val="nil"/>
              <w:left w:val="nil"/>
              <w:bottom w:val="single" w:sz="4" w:space="0" w:color="auto"/>
              <w:right w:val="single" w:sz="4" w:space="0" w:color="auto"/>
            </w:tcBorders>
            <w:shd w:val="clear" w:color="auto" w:fill="auto"/>
            <w:noWrap/>
            <w:vAlign w:val="center"/>
            <w:hideMark/>
          </w:tcPr>
          <w:p w14:paraId="74242420" w14:textId="77777777" w:rsidR="009D3B5A" w:rsidRPr="00D23046" w:rsidRDefault="009D3B5A" w:rsidP="009D3B5A">
            <w:pPr>
              <w:jc w:val="right"/>
              <w:rPr>
                <w:rFonts w:ascii="Tahoma" w:hAnsi="Tahoma" w:cs="Tahoma"/>
                <w:sz w:val="20"/>
                <w:szCs w:val="20"/>
              </w:rPr>
            </w:pPr>
            <w:r w:rsidRPr="00D23046">
              <w:rPr>
                <w:rFonts w:ascii="Tahoma" w:hAnsi="Tahoma" w:cs="Tahoma"/>
                <w:sz w:val="20"/>
                <w:szCs w:val="20"/>
              </w:rPr>
              <w:t>27,15</w:t>
            </w:r>
          </w:p>
        </w:tc>
        <w:tc>
          <w:tcPr>
            <w:tcW w:w="1166" w:type="dxa"/>
            <w:tcBorders>
              <w:top w:val="nil"/>
              <w:left w:val="nil"/>
              <w:bottom w:val="single" w:sz="4" w:space="0" w:color="auto"/>
              <w:right w:val="single" w:sz="4" w:space="0" w:color="auto"/>
            </w:tcBorders>
            <w:shd w:val="clear" w:color="auto" w:fill="auto"/>
            <w:noWrap/>
            <w:vAlign w:val="center"/>
            <w:hideMark/>
          </w:tcPr>
          <w:p w14:paraId="298AD1F8" w14:textId="77777777" w:rsidR="009D3B5A" w:rsidRPr="00D23046" w:rsidRDefault="009D3B5A" w:rsidP="009D3B5A">
            <w:pPr>
              <w:jc w:val="right"/>
              <w:rPr>
                <w:rFonts w:ascii="Tahoma" w:hAnsi="Tahoma" w:cs="Tahoma"/>
                <w:sz w:val="20"/>
                <w:szCs w:val="20"/>
              </w:rPr>
            </w:pPr>
            <w:r w:rsidRPr="00D23046">
              <w:rPr>
                <w:rFonts w:ascii="Tahoma" w:hAnsi="Tahoma" w:cs="Tahoma"/>
                <w:sz w:val="20"/>
                <w:szCs w:val="20"/>
              </w:rPr>
              <w:t>26,00</w:t>
            </w:r>
          </w:p>
        </w:tc>
        <w:tc>
          <w:tcPr>
            <w:tcW w:w="1166" w:type="dxa"/>
            <w:tcBorders>
              <w:top w:val="nil"/>
              <w:left w:val="nil"/>
              <w:bottom w:val="single" w:sz="4" w:space="0" w:color="auto"/>
              <w:right w:val="single" w:sz="4" w:space="0" w:color="auto"/>
            </w:tcBorders>
            <w:shd w:val="clear" w:color="auto" w:fill="auto"/>
            <w:noWrap/>
            <w:vAlign w:val="center"/>
            <w:hideMark/>
          </w:tcPr>
          <w:p w14:paraId="4DA5D1C3" w14:textId="77777777" w:rsidR="009D3B5A" w:rsidRPr="00D23046" w:rsidRDefault="009D3B5A" w:rsidP="009D3B5A">
            <w:pPr>
              <w:jc w:val="right"/>
              <w:rPr>
                <w:rFonts w:ascii="Tahoma" w:hAnsi="Tahoma" w:cs="Tahoma"/>
                <w:sz w:val="20"/>
                <w:szCs w:val="20"/>
              </w:rPr>
            </w:pPr>
            <w:r w:rsidRPr="00D23046">
              <w:rPr>
                <w:rFonts w:ascii="Tahoma" w:hAnsi="Tahoma" w:cs="Tahoma"/>
                <w:sz w:val="20"/>
                <w:szCs w:val="20"/>
              </w:rPr>
              <w:t>24,73</w:t>
            </w:r>
          </w:p>
        </w:tc>
        <w:tc>
          <w:tcPr>
            <w:tcW w:w="1166" w:type="dxa"/>
            <w:tcBorders>
              <w:top w:val="nil"/>
              <w:left w:val="nil"/>
              <w:bottom w:val="single" w:sz="4" w:space="0" w:color="auto"/>
              <w:right w:val="single" w:sz="4" w:space="0" w:color="auto"/>
            </w:tcBorders>
            <w:shd w:val="clear" w:color="auto" w:fill="auto"/>
            <w:noWrap/>
            <w:vAlign w:val="center"/>
            <w:hideMark/>
          </w:tcPr>
          <w:p w14:paraId="6D6D084B" w14:textId="77777777" w:rsidR="009D3B5A" w:rsidRPr="00D23046" w:rsidRDefault="009D3B5A" w:rsidP="009D3B5A">
            <w:pPr>
              <w:jc w:val="right"/>
              <w:rPr>
                <w:rFonts w:ascii="Tahoma" w:hAnsi="Tahoma" w:cs="Tahoma"/>
                <w:sz w:val="20"/>
                <w:szCs w:val="20"/>
              </w:rPr>
            </w:pPr>
            <w:r w:rsidRPr="00D23046">
              <w:rPr>
                <w:rFonts w:ascii="Tahoma" w:hAnsi="Tahoma" w:cs="Tahoma"/>
                <w:sz w:val="20"/>
                <w:szCs w:val="20"/>
              </w:rPr>
              <w:t>23,81</w:t>
            </w:r>
          </w:p>
        </w:tc>
        <w:tc>
          <w:tcPr>
            <w:tcW w:w="1036" w:type="dxa"/>
            <w:tcBorders>
              <w:top w:val="nil"/>
              <w:left w:val="nil"/>
              <w:bottom w:val="single" w:sz="4" w:space="0" w:color="auto"/>
              <w:right w:val="single" w:sz="4" w:space="0" w:color="auto"/>
            </w:tcBorders>
            <w:shd w:val="clear" w:color="auto" w:fill="auto"/>
            <w:noWrap/>
            <w:vAlign w:val="center"/>
            <w:hideMark/>
          </w:tcPr>
          <w:p w14:paraId="0AE41904" w14:textId="77777777" w:rsidR="009D3B5A" w:rsidRPr="00D23046" w:rsidRDefault="009D3B5A" w:rsidP="009D3B5A">
            <w:pPr>
              <w:jc w:val="right"/>
              <w:rPr>
                <w:rFonts w:ascii="Tahoma" w:hAnsi="Tahoma" w:cs="Tahoma"/>
                <w:sz w:val="20"/>
                <w:szCs w:val="20"/>
              </w:rPr>
            </w:pPr>
            <w:r w:rsidRPr="00D23046">
              <w:rPr>
                <w:rFonts w:ascii="Tahoma" w:hAnsi="Tahoma" w:cs="Tahoma"/>
                <w:sz w:val="20"/>
                <w:szCs w:val="20"/>
              </w:rPr>
              <w:t>25,06</w:t>
            </w:r>
          </w:p>
        </w:tc>
      </w:tr>
    </w:tbl>
    <w:p w14:paraId="00C31131" w14:textId="77777777" w:rsidR="009D3B5A" w:rsidRPr="00D23046" w:rsidRDefault="009D3B5A" w:rsidP="009D3B5A">
      <w:pPr>
        <w:spacing w:after="120" w:line="240" w:lineRule="auto"/>
        <w:ind w:firstLine="360"/>
        <w:jc w:val="both"/>
        <w:rPr>
          <w:rFonts w:ascii="Tahoma" w:hAnsi="Tahoma" w:cs="Tahoma"/>
          <w:color w:val="FF0000"/>
          <w:sz w:val="20"/>
          <w:szCs w:val="20"/>
        </w:rPr>
      </w:pPr>
    </w:p>
    <w:p w14:paraId="56773714" w14:textId="77777777" w:rsidR="009D3B5A" w:rsidRPr="009D3B5A" w:rsidRDefault="009D3B5A" w:rsidP="009D3B5A">
      <w:pPr>
        <w:spacing w:after="120" w:line="240" w:lineRule="auto"/>
        <w:jc w:val="both"/>
        <w:rPr>
          <w:rFonts w:ascii="Tahoma" w:hAnsi="Tahoma" w:cs="Tahoma"/>
          <w:sz w:val="20"/>
          <w:szCs w:val="20"/>
          <w:lang w:val="el-GR"/>
        </w:rPr>
      </w:pPr>
      <w:r w:rsidRPr="009D3B5A">
        <w:rPr>
          <w:rFonts w:ascii="Tahoma" w:hAnsi="Tahoma" w:cs="Tahoma"/>
          <w:sz w:val="20"/>
          <w:szCs w:val="20"/>
          <w:lang w:val="el-GR"/>
        </w:rPr>
        <w:t xml:space="preserve">Τα ίδια κεφάλαια της τράπεζας ανήλθαν στα 14,6 εκ ευρώ, αυξημένα σε σχέση με την προηγούμενη χρήση κατά 2,4 εκατ. ευρώ. Στην αύξηση των ιδίων κεφαλαίων συνεισέφερε η κερδοφορία κατά ποσό του 1 εκατομμυρίου ευρώ και η αύξηση συνεταιριστικού κεφαλαίου κατά 1,4 εκατομμύρια ευρώ. </w:t>
      </w:r>
    </w:p>
    <w:p w14:paraId="3688CF89" w14:textId="77777777" w:rsidR="009D3B5A" w:rsidRPr="009D3B5A" w:rsidRDefault="009D3B5A" w:rsidP="009D3B5A">
      <w:pPr>
        <w:spacing w:after="120" w:line="240" w:lineRule="auto"/>
        <w:jc w:val="both"/>
        <w:rPr>
          <w:rFonts w:ascii="Tahoma" w:hAnsi="Tahoma" w:cs="Tahoma"/>
          <w:sz w:val="20"/>
          <w:szCs w:val="20"/>
          <w:lang w:val="el-GR"/>
        </w:rPr>
      </w:pPr>
    </w:p>
    <w:p w14:paraId="398E94D6" w14:textId="77777777" w:rsidR="009D3B5A" w:rsidRPr="009D3B5A" w:rsidRDefault="009D3B5A" w:rsidP="009D3B5A">
      <w:pPr>
        <w:spacing w:after="120" w:line="240" w:lineRule="auto"/>
        <w:jc w:val="both"/>
        <w:rPr>
          <w:rFonts w:ascii="Tahoma" w:hAnsi="Tahoma" w:cs="Tahoma"/>
          <w:sz w:val="20"/>
          <w:szCs w:val="20"/>
          <w:lang w:val="el-GR"/>
        </w:rPr>
      </w:pPr>
    </w:p>
    <w:tbl>
      <w:tblPr>
        <w:tblW w:w="10337" w:type="dxa"/>
        <w:tblInd w:w="-1015" w:type="dxa"/>
        <w:tblLook w:val="04A0" w:firstRow="1" w:lastRow="0" w:firstColumn="1" w:lastColumn="0" w:noHBand="0" w:noVBand="1"/>
      </w:tblPr>
      <w:tblGrid>
        <w:gridCol w:w="3537"/>
        <w:gridCol w:w="1360"/>
        <w:gridCol w:w="1360"/>
        <w:gridCol w:w="1360"/>
        <w:gridCol w:w="1360"/>
        <w:gridCol w:w="1360"/>
      </w:tblGrid>
      <w:tr w:rsidR="009D3B5A" w:rsidRPr="00D23046" w14:paraId="1D3B043E" w14:textId="77777777" w:rsidTr="009D3B5A">
        <w:trPr>
          <w:trHeight w:val="360"/>
        </w:trPr>
        <w:tc>
          <w:tcPr>
            <w:tcW w:w="4897" w:type="dxa"/>
            <w:gridSpan w:val="2"/>
            <w:tcBorders>
              <w:top w:val="nil"/>
              <w:left w:val="nil"/>
              <w:bottom w:val="nil"/>
              <w:right w:val="nil"/>
            </w:tcBorders>
            <w:shd w:val="clear" w:color="auto" w:fill="auto"/>
            <w:noWrap/>
            <w:vAlign w:val="center"/>
            <w:hideMark/>
          </w:tcPr>
          <w:p w14:paraId="2DF095F5" w14:textId="77777777" w:rsidR="009D3B5A" w:rsidRPr="00D23046" w:rsidRDefault="009D3B5A" w:rsidP="009D3B5A">
            <w:pPr>
              <w:rPr>
                <w:rFonts w:ascii="Tahoma" w:hAnsi="Tahoma" w:cs="Tahoma"/>
                <w:b/>
                <w:bCs/>
                <w:sz w:val="16"/>
                <w:szCs w:val="20"/>
              </w:rPr>
            </w:pPr>
            <w:r w:rsidRPr="00D23046">
              <w:rPr>
                <w:rFonts w:ascii="Tahoma" w:hAnsi="Tahoma" w:cs="Tahoma"/>
                <w:b/>
                <w:bCs/>
                <w:sz w:val="16"/>
                <w:szCs w:val="20"/>
              </w:rPr>
              <w:lastRenderedPageBreak/>
              <w:t>ΙΔΙΑ ΚΕΦΑΛΑΙΑ - ΣΥΝΟΛΟ ΙΣΟΛΟΓΙΣΜΟΥ</w:t>
            </w:r>
          </w:p>
        </w:tc>
        <w:tc>
          <w:tcPr>
            <w:tcW w:w="1360" w:type="dxa"/>
            <w:tcBorders>
              <w:top w:val="nil"/>
              <w:left w:val="nil"/>
              <w:bottom w:val="nil"/>
              <w:right w:val="nil"/>
            </w:tcBorders>
            <w:shd w:val="clear" w:color="auto" w:fill="auto"/>
            <w:noWrap/>
            <w:vAlign w:val="center"/>
            <w:hideMark/>
          </w:tcPr>
          <w:p w14:paraId="01B5A509" w14:textId="77777777" w:rsidR="009D3B5A" w:rsidRPr="00D23046" w:rsidRDefault="009D3B5A" w:rsidP="009D3B5A">
            <w:pPr>
              <w:rPr>
                <w:rFonts w:ascii="Tahoma" w:hAnsi="Tahoma" w:cs="Tahoma"/>
                <w:b/>
                <w:bCs/>
                <w:sz w:val="16"/>
                <w:szCs w:val="20"/>
                <w:u w:val="single"/>
              </w:rPr>
            </w:pPr>
          </w:p>
        </w:tc>
        <w:tc>
          <w:tcPr>
            <w:tcW w:w="1360" w:type="dxa"/>
            <w:tcBorders>
              <w:top w:val="nil"/>
              <w:left w:val="nil"/>
              <w:bottom w:val="nil"/>
              <w:right w:val="nil"/>
            </w:tcBorders>
            <w:shd w:val="clear" w:color="auto" w:fill="auto"/>
            <w:noWrap/>
            <w:vAlign w:val="center"/>
            <w:hideMark/>
          </w:tcPr>
          <w:p w14:paraId="3088F342" w14:textId="77777777" w:rsidR="009D3B5A" w:rsidRPr="00D23046" w:rsidRDefault="009D3B5A" w:rsidP="009D3B5A">
            <w:pPr>
              <w:rPr>
                <w:rFonts w:ascii="Tahoma" w:hAnsi="Tahoma" w:cs="Tahoma"/>
                <w:sz w:val="16"/>
                <w:szCs w:val="20"/>
              </w:rPr>
            </w:pPr>
          </w:p>
        </w:tc>
        <w:tc>
          <w:tcPr>
            <w:tcW w:w="1360" w:type="dxa"/>
            <w:tcBorders>
              <w:top w:val="nil"/>
              <w:left w:val="nil"/>
              <w:bottom w:val="nil"/>
              <w:right w:val="nil"/>
            </w:tcBorders>
            <w:shd w:val="clear" w:color="auto" w:fill="auto"/>
            <w:noWrap/>
            <w:vAlign w:val="center"/>
            <w:hideMark/>
          </w:tcPr>
          <w:p w14:paraId="10E8EC2B" w14:textId="77777777" w:rsidR="009D3B5A" w:rsidRPr="00D23046" w:rsidRDefault="009D3B5A" w:rsidP="009D3B5A">
            <w:pPr>
              <w:rPr>
                <w:rFonts w:ascii="Tahoma" w:hAnsi="Tahoma" w:cs="Tahoma"/>
                <w:sz w:val="16"/>
                <w:szCs w:val="20"/>
              </w:rPr>
            </w:pPr>
          </w:p>
        </w:tc>
        <w:tc>
          <w:tcPr>
            <w:tcW w:w="1360" w:type="dxa"/>
            <w:tcBorders>
              <w:top w:val="nil"/>
              <w:left w:val="nil"/>
              <w:bottom w:val="nil"/>
              <w:right w:val="nil"/>
            </w:tcBorders>
            <w:shd w:val="clear" w:color="auto" w:fill="auto"/>
            <w:noWrap/>
            <w:vAlign w:val="center"/>
            <w:hideMark/>
          </w:tcPr>
          <w:p w14:paraId="52B8F926" w14:textId="77777777" w:rsidR="009D3B5A" w:rsidRPr="00D23046" w:rsidRDefault="009D3B5A" w:rsidP="009D3B5A">
            <w:pPr>
              <w:rPr>
                <w:rFonts w:ascii="Tahoma" w:hAnsi="Tahoma" w:cs="Tahoma"/>
                <w:sz w:val="16"/>
                <w:szCs w:val="20"/>
              </w:rPr>
            </w:pPr>
          </w:p>
        </w:tc>
      </w:tr>
      <w:tr w:rsidR="009D3B5A" w:rsidRPr="00D23046" w14:paraId="4E0B699E" w14:textId="77777777" w:rsidTr="009D3B5A">
        <w:trPr>
          <w:trHeight w:val="360"/>
        </w:trPr>
        <w:tc>
          <w:tcPr>
            <w:tcW w:w="3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E8567" w14:textId="77777777" w:rsidR="009D3B5A" w:rsidRPr="00D23046" w:rsidRDefault="009D3B5A" w:rsidP="009D3B5A">
            <w:pPr>
              <w:rPr>
                <w:rFonts w:ascii="Tahoma" w:hAnsi="Tahoma" w:cs="Tahoma"/>
                <w:sz w:val="16"/>
                <w:szCs w:val="20"/>
              </w:rPr>
            </w:pPr>
            <w:r w:rsidRPr="00D23046">
              <w:rPr>
                <w:rFonts w:ascii="Tahoma" w:hAnsi="Tahoma" w:cs="Tahoma"/>
                <w:sz w:val="16"/>
                <w:szCs w:val="20"/>
              </w:rPr>
              <w:t> </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39F0BA2D" w14:textId="77777777" w:rsidR="009D3B5A" w:rsidRPr="00D23046" w:rsidRDefault="009D3B5A" w:rsidP="009D3B5A">
            <w:pPr>
              <w:jc w:val="center"/>
              <w:rPr>
                <w:rFonts w:ascii="Tahoma" w:hAnsi="Tahoma" w:cs="Tahoma"/>
                <w:sz w:val="16"/>
                <w:szCs w:val="20"/>
              </w:rPr>
            </w:pPr>
            <w:r w:rsidRPr="00D23046">
              <w:rPr>
                <w:rFonts w:ascii="Tahoma" w:hAnsi="Tahoma" w:cs="Tahoma"/>
                <w:sz w:val="16"/>
                <w:szCs w:val="20"/>
              </w:rPr>
              <w:t>2015</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632330A1" w14:textId="77777777" w:rsidR="009D3B5A" w:rsidRPr="00D23046" w:rsidRDefault="009D3B5A" w:rsidP="009D3B5A">
            <w:pPr>
              <w:jc w:val="center"/>
              <w:rPr>
                <w:rFonts w:ascii="Tahoma" w:hAnsi="Tahoma" w:cs="Tahoma"/>
                <w:sz w:val="16"/>
                <w:szCs w:val="20"/>
              </w:rPr>
            </w:pPr>
            <w:r w:rsidRPr="00D23046">
              <w:rPr>
                <w:rFonts w:ascii="Tahoma" w:hAnsi="Tahoma" w:cs="Tahoma"/>
                <w:sz w:val="16"/>
                <w:szCs w:val="20"/>
              </w:rPr>
              <w:t>2016</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580D79FC" w14:textId="77777777" w:rsidR="009D3B5A" w:rsidRPr="00D23046" w:rsidRDefault="009D3B5A" w:rsidP="009D3B5A">
            <w:pPr>
              <w:jc w:val="center"/>
              <w:rPr>
                <w:rFonts w:ascii="Tahoma" w:hAnsi="Tahoma" w:cs="Tahoma"/>
                <w:sz w:val="16"/>
                <w:szCs w:val="20"/>
              </w:rPr>
            </w:pPr>
            <w:r w:rsidRPr="00D23046">
              <w:rPr>
                <w:rFonts w:ascii="Tahoma" w:hAnsi="Tahoma" w:cs="Tahoma"/>
                <w:sz w:val="16"/>
                <w:szCs w:val="20"/>
              </w:rPr>
              <w:t>2017</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180DAF29" w14:textId="77777777" w:rsidR="009D3B5A" w:rsidRPr="00D23046" w:rsidRDefault="009D3B5A" w:rsidP="009D3B5A">
            <w:pPr>
              <w:jc w:val="center"/>
              <w:rPr>
                <w:rFonts w:ascii="Tahoma" w:hAnsi="Tahoma" w:cs="Tahoma"/>
                <w:sz w:val="16"/>
                <w:szCs w:val="20"/>
              </w:rPr>
            </w:pPr>
            <w:r w:rsidRPr="00D23046">
              <w:rPr>
                <w:rFonts w:ascii="Tahoma" w:hAnsi="Tahoma" w:cs="Tahoma"/>
                <w:sz w:val="16"/>
                <w:szCs w:val="20"/>
              </w:rPr>
              <w:t>2018</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60057FF9" w14:textId="77777777" w:rsidR="009D3B5A" w:rsidRPr="00D23046" w:rsidRDefault="009D3B5A" w:rsidP="009D3B5A">
            <w:pPr>
              <w:jc w:val="center"/>
              <w:rPr>
                <w:rFonts w:ascii="Tahoma" w:hAnsi="Tahoma" w:cs="Tahoma"/>
                <w:sz w:val="16"/>
                <w:szCs w:val="20"/>
              </w:rPr>
            </w:pPr>
            <w:r w:rsidRPr="00D23046">
              <w:rPr>
                <w:rFonts w:ascii="Tahoma" w:hAnsi="Tahoma" w:cs="Tahoma"/>
                <w:sz w:val="16"/>
                <w:szCs w:val="20"/>
              </w:rPr>
              <w:t>2019</w:t>
            </w:r>
          </w:p>
        </w:tc>
      </w:tr>
      <w:tr w:rsidR="009D3B5A" w:rsidRPr="00D23046" w14:paraId="6B75EDFA" w14:textId="77777777" w:rsidTr="009D3B5A">
        <w:trPr>
          <w:trHeight w:val="360"/>
        </w:trPr>
        <w:tc>
          <w:tcPr>
            <w:tcW w:w="3537" w:type="dxa"/>
            <w:tcBorders>
              <w:top w:val="nil"/>
              <w:left w:val="single" w:sz="4" w:space="0" w:color="auto"/>
              <w:bottom w:val="single" w:sz="4" w:space="0" w:color="auto"/>
              <w:right w:val="single" w:sz="4" w:space="0" w:color="auto"/>
            </w:tcBorders>
            <w:shd w:val="clear" w:color="auto" w:fill="auto"/>
            <w:noWrap/>
            <w:vAlign w:val="center"/>
            <w:hideMark/>
          </w:tcPr>
          <w:p w14:paraId="26DFBD66" w14:textId="77777777" w:rsidR="009D3B5A" w:rsidRPr="00D23046" w:rsidRDefault="009D3B5A" w:rsidP="009D3B5A">
            <w:pPr>
              <w:rPr>
                <w:rFonts w:ascii="Tahoma" w:hAnsi="Tahoma" w:cs="Tahoma"/>
                <w:sz w:val="16"/>
                <w:szCs w:val="20"/>
              </w:rPr>
            </w:pPr>
            <w:r w:rsidRPr="00D23046">
              <w:rPr>
                <w:rFonts w:ascii="Tahoma" w:hAnsi="Tahoma" w:cs="Tahoma"/>
                <w:sz w:val="16"/>
                <w:szCs w:val="20"/>
              </w:rPr>
              <w:t xml:space="preserve">Συνεταιριστικό </w:t>
            </w:r>
            <w:proofErr w:type="spellStart"/>
            <w:r w:rsidRPr="00D23046">
              <w:rPr>
                <w:rFonts w:ascii="Tahoma" w:hAnsi="Tahoma" w:cs="Tahoma"/>
                <w:sz w:val="16"/>
                <w:szCs w:val="20"/>
              </w:rPr>
              <w:t>κεφάλ</w:t>
            </w:r>
            <w:proofErr w:type="spellEnd"/>
            <w:r w:rsidRPr="00D23046">
              <w:rPr>
                <w:rFonts w:ascii="Tahoma" w:hAnsi="Tahoma" w:cs="Tahoma"/>
                <w:sz w:val="16"/>
                <w:szCs w:val="20"/>
              </w:rPr>
              <w:t>αιο</w:t>
            </w:r>
          </w:p>
        </w:tc>
        <w:tc>
          <w:tcPr>
            <w:tcW w:w="1360" w:type="dxa"/>
            <w:tcBorders>
              <w:top w:val="nil"/>
              <w:left w:val="nil"/>
              <w:bottom w:val="single" w:sz="4" w:space="0" w:color="auto"/>
              <w:right w:val="single" w:sz="4" w:space="0" w:color="auto"/>
            </w:tcBorders>
            <w:shd w:val="clear" w:color="auto" w:fill="auto"/>
            <w:noWrap/>
            <w:vAlign w:val="center"/>
            <w:hideMark/>
          </w:tcPr>
          <w:p w14:paraId="7071B437" w14:textId="77777777" w:rsidR="009D3B5A" w:rsidRPr="00D23046" w:rsidRDefault="009D3B5A" w:rsidP="009D3B5A">
            <w:pPr>
              <w:jc w:val="right"/>
              <w:rPr>
                <w:rFonts w:ascii="Tahoma" w:hAnsi="Tahoma" w:cs="Tahoma"/>
                <w:sz w:val="16"/>
                <w:szCs w:val="20"/>
              </w:rPr>
            </w:pPr>
            <w:r w:rsidRPr="00D23046">
              <w:rPr>
                <w:rFonts w:ascii="Tahoma" w:hAnsi="Tahoma" w:cs="Tahoma"/>
                <w:sz w:val="16"/>
                <w:szCs w:val="20"/>
              </w:rPr>
              <w:t>11.967.818</w:t>
            </w:r>
          </w:p>
        </w:tc>
        <w:tc>
          <w:tcPr>
            <w:tcW w:w="1360" w:type="dxa"/>
            <w:tcBorders>
              <w:top w:val="nil"/>
              <w:left w:val="nil"/>
              <w:bottom w:val="single" w:sz="4" w:space="0" w:color="auto"/>
              <w:right w:val="single" w:sz="4" w:space="0" w:color="auto"/>
            </w:tcBorders>
            <w:shd w:val="clear" w:color="auto" w:fill="auto"/>
            <w:noWrap/>
            <w:vAlign w:val="center"/>
            <w:hideMark/>
          </w:tcPr>
          <w:p w14:paraId="551B8ABB" w14:textId="77777777" w:rsidR="009D3B5A" w:rsidRPr="00D23046" w:rsidRDefault="009D3B5A" w:rsidP="009D3B5A">
            <w:pPr>
              <w:jc w:val="right"/>
              <w:rPr>
                <w:rFonts w:ascii="Tahoma" w:hAnsi="Tahoma" w:cs="Tahoma"/>
                <w:sz w:val="16"/>
                <w:szCs w:val="20"/>
              </w:rPr>
            </w:pPr>
            <w:r w:rsidRPr="00D23046">
              <w:rPr>
                <w:rFonts w:ascii="Tahoma" w:hAnsi="Tahoma" w:cs="Tahoma"/>
                <w:sz w:val="16"/>
                <w:szCs w:val="20"/>
              </w:rPr>
              <w:t>12.097.574</w:t>
            </w:r>
          </w:p>
        </w:tc>
        <w:tc>
          <w:tcPr>
            <w:tcW w:w="1360" w:type="dxa"/>
            <w:tcBorders>
              <w:top w:val="nil"/>
              <w:left w:val="nil"/>
              <w:bottom w:val="single" w:sz="4" w:space="0" w:color="auto"/>
              <w:right w:val="single" w:sz="4" w:space="0" w:color="auto"/>
            </w:tcBorders>
            <w:shd w:val="clear" w:color="auto" w:fill="auto"/>
            <w:noWrap/>
            <w:vAlign w:val="center"/>
            <w:hideMark/>
          </w:tcPr>
          <w:p w14:paraId="1CA5FF61" w14:textId="77777777" w:rsidR="009D3B5A" w:rsidRPr="00D23046" w:rsidRDefault="009D3B5A" w:rsidP="009D3B5A">
            <w:pPr>
              <w:jc w:val="right"/>
              <w:rPr>
                <w:rFonts w:ascii="Tahoma" w:hAnsi="Tahoma" w:cs="Tahoma"/>
                <w:sz w:val="16"/>
                <w:szCs w:val="20"/>
              </w:rPr>
            </w:pPr>
            <w:r w:rsidRPr="00D23046">
              <w:rPr>
                <w:rFonts w:ascii="Tahoma" w:hAnsi="Tahoma" w:cs="Tahoma"/>
                <w:sz w:val="16"/>
                <w:szCs w:val="20"/>
              </w:rPr>
              <w:t>12.259.448</w:t>
            </w:r>
          </w:p>
        </w:tc>
        <w:tc>
          <w:tcPr>
            <w:tcW w:w="1360" w:type="dxa"/>
            <w:tcBorders>
              <w:top w:val="nil"/>
              <w:left w:val="nil"/>
              <w:bottom w:val="single" w:sz="4" w:space="0" w:color="auto"/>
              <w:right w:val="single" w:sz="4" w:space="0" w:color="auto"/>
            </w:tcBorders>
            <w:shd w:val="clear" w:color="auto" w:fill="auto"/>
            <w:noWrap/>
            <w:vAlign w:val="center"/>
            <w:hideMark/>
          </w:tcPr>
          <w:p w14:paraId="2742DEBE" w14:textId="77777777" w:rsidR="009D3B5A" w:rsidRPr="00D23046" w:rsidRDefault="009D3B5A" w:rsidP="009D3B5A">
            <w:pPr>
              <w:jc w:val="right"/>
              <w:rPr>
                <w:rFonts w:ascii="Tahoma" w:hAnsi="Tahoma" w:cs="Tahoma"/>
                <w:sz w:val="16"/>
                <w:szCs w:val="20"/>
              </w:rPr>
            </w:pPr>
            <w:r w:rsidRPr="00D23046">
              <w:rPr>
                <w:rFonts w:ascii="Tahoma" w:hAnsi="Tahoma" w:cs="Tahoma"/>
                <w:sz w:val="16"/>
                <w:szCs w:val="20"/>
              </w:rPr>
              <w:t>12.615.424</w:t>
            </w:r>
          </w:p>
        </w:tc>
        <w:tc>
          <w:tcPr>
            <w:tcW w:w="1360" w:type="dxa"/>
            <w:tcBorders>
              <w:top w:val="nil"/>
              <w:left w:val="nil"/>
              <w:bottom w:val="single" w:sz="4" w:space="0" w:color="auto"/>
              <w:right w:val="single" w:sz="4" w:space="0" w:color="auto"/>
            </w:tcBorders>
            <w:shd w:val="clear" w:color="auto" w:fill="auto"/>
            <w:noWrap/>
            <w:vAlign w:val="center"/>
            <w:hideMark/>
          </w:tcPr>
          <w:p w14:paraId="4B67E2D5" w14:textId="77777777" w:rsidR="009D3B5A" w:rsidRPr="00D23046" w:rsidRDefault="009D3B5A" w:rsidP="009D3B5A">
            <w:pPr>
              <w:jc w:val="right"/>
              <w:rPr>
                <w:rFonts w:ascii="Tahoma" w:hAnsi="Tahoma" w:cs="Tahoma"/>
                <w:sz w:val="16"/>
                <w:szCs w:val="20"/>
              </w:rPr>
            </w:pPr>
            <w:r w:rsidRPr="00D23046">
              <w:rPr>
                <w:rFonts w:ascii="Tahoma" w:hAnsi="Tahoma" w:cs="Tahoma"/>
                <w:sz w:val="16"/>
                <w:szCs w:val="20"/>
              </w:rPr>
              <w:t>9.825.500</w:t>
            </w:r>
          </w:p>
        </w:tc>
      </w:tr>
      <w:tr w:rsidR="009D3B5A" w:rsidRPr="00D23046" w14:paraId="29F419C2" w14:textId="77777777" w:rsidTr="009D3B5A">
        <w:trPr>
          <w:trHeight w:val="360"/>
        </w:trPr>
        <w:tc>
          <w:tcPr>
            <w:tcW w:w="3537" w:type="dxa"/>
            <w:tcBorders>
              <w:top w:val="nil"/>
              <w:left w:val="single" w:sz="4" w:space="0" w:color="auto"/>
              <w:bottom w:val="single" w:sz="4" w:space="0" w:color="auto"/>
              <w:right w:val="single" w:sz="4" w:space="0" w:color="auto"/>
            </w:tcBorders>
            <w:shd w:val="clear" w:color="auto" w:fill="auto"/>
            <w:noWrap/>
            <w:vAlign w:val="center"/>
            <w:hideMark/>
          </w:tcPr>
          <w:p w14:paraId="26377F8A" w14:textId="77777777" w:rsidR="009D3B5A" w:rsidRPr="009D3B5A" w:rsidRDefault="009D3B5A" w:rsidP="009D3B5A">
            <w:pPr>
              <w:rPr>
                <w:rFonts w:ascii="Tahoma" w:hAnsi="Tahoma" w:cs="Tahoma"/>
                <w:sz w:val="16"/>
                <w:szCs w:val="20"/>
                <w:lang w:val="el-GR"/>
              </w:rPr>
            </w:pPr>
            <w:r w:rsidRPr="009D3B5A">
              <w:rPr>
                <w:rFonts w:ascii="Tahoma" w:hAnsi="Tahoma" w:cs="Tahoma"/>
                <w:sz w:val="16"/>
                <w:szCs w:val="20"/>
                <w:lang w:val="el-GR"/>
              </w:rPr>
              <w:t>Διαφορά από έκδοση μερίδων υπέρ το άρτιο</w:t>
            </w:r>
          </w:p>
        </w:tc>
        <w:tc>
          <w:tcPr>
            <w:tcW w:w="1360" w:type="dxa"/>
            <w:tcBorders>
              <w:top w:val="nil"/>
              <w:left w:val="nil"/>
              <w:bottom w:val="single" w:sz="4" w:space="0" w:color="auto"/>
              <w:right w:val="single" w:sz="4" w:space="0" w:color="auto"/>
            </w:tcBorders>
            <w:shd w:val="clear" w:color="auto" w:fill="auto"/>
            <w:noWrap/>
            <w:vAlign w:val="center"/>
            <w:hideMark/>
          </w:tcPr>
          <w:p w14:paraId="3A24A461" w14:textId="77777777" w:rsidR="009D3B5A" w:rsidRPr="00D23046" w:rsidRDefault="009D3B5A" w:rsidP="009D3B5A">
            <w:pPr>
              <w:jc w:val="right"/>
              <w:rPr>
                <w:rFonts w:ascii="Tahoma" w:hAnsi="Tahoma" w:cs="Tahoma"/>
                <w:sz w:val="16"/>
                <w:szCs w:val="20"/>
              </w:rPr>
            </w:pPr>
            <w:r w:rsidRPr="00D23046">
              <w:rPr>
                <w:rFonts w:ascii="Tahoma" w:hAnsi="Tahoma" w:cs="Tahoma"/>
                <w:sz w:val="16"/>
                <w:szCs w:val="20"/>
              </w:rPr>
              <w:t>14.210.067</w:t>
            </w:r>
          </w:p>
        </w:tc>
        <w:tc>
          <w:tcPr>
            <w:tcW w:w="1360" w:type="dxa"/>
            <w:tcBorders>
              <w:top w:val="nil"/>
              <w:left w:val="nil"/>
              <w:bottom w:val="single" w:sz="4" w:space="0" w:color="auto"/>
              <w:right w:val="single" w:sz="4" w:space="0" w:color="auto"/>
            </w:tcBorders>
            <w:shd w:val="clear" w:color="auto" w:fill="auto"/>
            <w:noWrap/>
            <w:vAlign w:val="center"/>
            <w:hideMark/>
          </w:tcPr>
          <w:p w14:paraId="2AC2EF83" w14:textId="77777777" w:rsidR="009D3B5A" w:rsidRPr="00D23046" w:rsidRDefault="009D3B5A" w:rsidP="009D3B5A">
            <w:pPr>
              <w:jc w:val="right"/>
              <w:rPr>
                <w:rFonts w:ascii="Tahoma" w:hAnsi="Tahoma" w:cs="Tahoma"/>
                <w:sz w:val="16"/>
                <w:szCs w:val="20"/>
              </w:rPr>
            </w:pPr>
            <w:r w:rsidRPr="00D23046">
              <w:rPr>
                <w:rFonts w:ascii="Tahoma" w:hAnsi="Tahoma" w:cs="Tahoma"/>
                <w:sz w:val="16"/>
                <w:szCs w:val="20"/>
              </w:rPr>
              <w:t>14.276.040</w:t>
            </w:r>
          </w:p>
        </w:tc>
        <w:tc>
          <w:tcPr>
            <w:tcW w:w="1360" w:type="dxa"/>
            <w:tcBorders>
              <w:top w:val="nil"/>
              <w:left w:val="nil"/>
              <w:bottom w:val="single" w:sz="4" w:space="0" w:color="auto"/>
              <w:right w:val="single" w:sz="4" w:space="0" w:color="auto"/>
            </w:tcBorders>
            <w:shd w:val="clear" w:color="auto" w:fill="auto"/>
            <w:noWrap/>
            <w:vAlign w:val="center"/>
            <w:hideMark/>
          </w:tcPr>
          <w:p w14:paraId="136B3901" w14:textId="77777777" w:rsidR="009D3B5A" w:rsidRPr="00D23046" w:rsidRDefault="009D3B5A" w:rsidP="009D3B5A">
            <w:pPr>
              <w:jc w:val="right"/>
              <w:rPr>
                <w:rFonts w:ascii="Tahoma" w:hAnsi="Tahoma" w:cs="Tahoma"/>
                <w:sz w:val="16"/>
                <w:szCs w:val="20"/>
              </w:rPr>
            </w:pPr>
            <w:r w:rsidRPr="00D23046">
              <w:rPr>
                <w:rFonts w:ascii="Tahoma" w:hAnsi="Tahoma" w:cs="Tahoma"/>
                <w:sz w:val="16"/>
                <w:szCs w:val="20"/>
              </w:rPr>
              <w:t>14.319.494</w:t>
            </w:r>
          </w:p>
        </w:tc>
        <w:tc>
          <w:tcPr>
            <w:tcW w:w="1360" w:type="dxa"/>
            <w:tcBorders>
              <w:top w:val="nil"/>
              <w:left w:val="nil"/>
              <w:bottom w:val="single" w:sz="4" w:space="0" w:color="auto"/>
              <w:right w:val="single" w:sz="4" w:space="0" w:color="auto"/>
            </w:tcBorders>
            <w:shd w:val="clear" w:color="auto" w:fill="auto"/>
            <w:noWrap/>
            <w:vAlign w:val="center"/>
            <w:hideMark/>
          </w:tcPr>
          <w:p w14:paraId="1376889F" w14:textId="77777777" w:rsidR="009D3B5A" w:rsidRPr="00D23046" w:rsidRDefault="009D3B5A" w:rsidP="009D3B5A">
            <w:pPr>
              <w:jc w:val="right"/>
              <w:rPr>
                <w:rFonts w:ascii="Tahoma" w:hAnsi="Tahoma" w:cs="Tahoma"/>
                <w:sz w:val="16"/>
                <w:szCs w:val="20"/>
              </w:rPr>
            </w:pPr>
            <w:r w:rsidRPr="00D23046">
              <w:rPr>
                <w:rFonts w:ascii="Tahoma" w:hAnsi="Tahoma" w:cs="Tahoma"/>
                <w:sz w:val="16"/>
                <w:szCs w:val="20"/>
              </w:rPr>
              <w:t>14.374.061</w:t>
            </w:r>
          </w:p>
        </w:tc>
        <w:tc>
          <w:tcPr>
            <w:tcW w:w="1360" w:type="dxa"/>
            <w:tcBorders>
              <w:top w:val="nil"/>
              <w:left w:val="nil"/>
              <w:bottom w:val="single" w:sz="4" w:space="0" w:color="auto"/>
              <w:right w:val="single" w:sz="4" w:space="0" w:color="auto"/>
            </w:tcBorders>
            <w:shd w:val="clear" w:color="auto" w:fill="auto"/>
            <w:noWrap/>
            <w:vAlign w:val="center"/>
            <w:hideMark/>
          </w:tcPr>
          <w:p w14:paraId="45640A83" w14:textId="77777777" w:rsidR="009D3B5A" w:rsidRPr="00D23046" w:rsidRDefault="009D3B5A" w:rsidP="009D3B5A">
            <w:pPr>
              <w:jc w:val="right"/>
              <w:rPr>
                <w:rFonts w:ascii="Tahoma" w:hAnsi="Tahoma" w:cs="Tahoma"/>
                <w:sz w:val="16"/>
                <w:szCs w:val="20"/>
              </w:rPr>
            </w:pPr>
            <w:r w:rsidRPr="00D23046">
              <w:rPr>
                <w:rFonts w:ascii="Tahoma" w:hAnsi="Tahoma" w:cs="Tahoma"/>
                <w:sz w:val="16"/>
                <w:szCs w:val="20"/>
              </w:rPr>
              <w:t>14.487.330</w:t>
            </w:r>
          </w:p>
        </w:tc>
      </w:tr>
      <w:tr w:rsidR="009D3B5A" w:rsidRPr="00D23046" w14:paraId="1A57C067" w14:textId="77777777" w:rsidTr="009D3B5A">
        <w:trPr>
          <w:trHeight w:val="360"/>
        </w:trPr>
        <w:tc>
          <w:tcPr>
            <w:tcW w:w="3537" w:type="dxa"/>
            <w:tcBorders>
              <w:top w:val="nil"/>
              <w:left w:val="single" w:sz="4" w:space="0" w:color="auto"/>
              <w:bottom w:val="single" w:sz="4" w:space="0" w:color="auto"/>
              <w:right w:val="single" w:sz="4" w:space="0" w:color="auto"/>
            </w:tcBorders>
            <w:shd w:val="clear" w:color="auto" w:fill="auto"/>
            <w:noWrap/>
            <w:vAlign w:val="center"/>
            <w:hideMark/>
          </w:tcPr>
          <w:p w14:paraId="148CFCF9" w14:textId="77777777" w:rsidR="009D3B5A" w:rsidRPr="00D23046" w:rsidRDefault="009D3B5A" w:rsidP="009D3B5A">
            <w:pPr>
              <w:rPr>
                <w:rFonts w:ascii="Tahoma" w:hAnsi="Tahoma" w:cs="Tahoma"/>
                <w:sz w:val="16"/>
                <w:szCs w:val="20"/>
              </w:rPr>
            </w:pPr>
            <w:r w:rsidRPr="00D23046">
              <w:rPr>
                <w:rFonts w:ascii="Tahoma" w:hAnsi="Tahoma" w:cs="Tahoma"/>
                <w:sz w:val="16"/>
                <w:szCs w:val="20"/>
              </w:rPr>
              <w:t>Απ</w:t>
            </w:r>
            <w:proofErr w:type="spellStart"/>
            <w:r w:rsidRPr="00D23046">
              <w:rPr>
                <w:rFonts w:ascii="Tahoma" w:hAnsi="Tahoma" w:cs="Tahoma"/>
                <w:sz w:val="16"/>
                <w:szCs w:val="20"/>
              </w:rPr>
              <w:t>οθεμ</w:t>
            </w:r>
            <w:proofErr w:type="spellEnd"/>
            <w:r w:rsidRPr="00D23046">
              <w:rPr>
                <w:rFonts w:ascii="Tahoma" w:hAnsi="Tahoma" w:cs="Tahoma"/>
                <w:sz w:val="16"/>
                <w:szCs w:val="20"/>
              </w:rPr>
              <w:t>ατικά</w:t>
            </w:r>
          </w:p>
        </w:tc>
        <w:tc>
          <w:tcPr>
            <w:tcW w:w="1360" w:type="dxa"/>
            <w:tcBorders>
              <w:top w:val="nil"/>
              <w:left w:val="nil"/>
              <w:bottom w:val="single" w:sz="4" w:space="0" w:color="auto"/>
              <w:right w:val="single" w:sz="4" w:space="0" w:color="auto"/>
            </w:tcBorders>
            <w:shd w:val="clear" w:color="auto" w:fill="auto"/>
            <w:noWrap/>
            <w:vAlign w:val="center"/>
            <w:hideMark/>
          </w:tcPr>
          <w:p w14:paraId="7FD19998" w14:textId="77777777" w:rsidR="009D3B5A" w:rsidRPr="00D23046" w:rsidRDefault="009D3B5A" w:rsidP="009D3B5A">
            <w:pPr>
              <w:jc w:val="right"/>
              <w:rPr>
                <w:rFonts w:ascii="Tahoma" w:hAnsi="Tahoma" w:cs="Tahoma"/>
                <w:sz w:val="16"/>
                <w:szCs w:val="20"/>
              </w:rPr>
            </w:pPr>
            <w:r w:rsidRPr="00D23046">
              <w:rPr>
                <w:rFonts w:ascii="Tahoma" w:hAnsi="Tahoma" w:cs="Tahoma"/>
                <w:sz w:val="16"/>
                <w:szCs w:val="20"/>
              </w:rPr>
              <w:t>3.963.177</w:t>
            </w:r>
          </w:p>
        </w:tc>
        <w:tc>
          <w:tcPr>
            <w:tcW w:w="1360" w:type="dxa"/>
            <w:tcBorders>
              <w:top w:val="nil"/>
              <w:left w:val="nil"/>
              <w:bottom w:val="single" w:sz="4" w:space="0" w:color="auto"/>
              <w:right w:val="single" w:sz="4" w:space="0" w:color="auto"/>
            </w:tcBorders>
            <w:shd w:val="clear" w:color="auto" w:fill="auto"/>
            <w:noWrap/>
            <w:vAlign w:val="center"/>
            <w:hideMark/>
          </w:tcPr>
          <w:p w14:paraId="26FE64D1" w14:textId="77777777" w:rsidR="009D3B5A" w:rsidRPr="00D23046" w:rsidRDefault="009D3B5A" w:rsidP="009D3B5A">
            <w:pPr>
              <w:jc w:val="right"/>
              <w:rPr>
                <w:rFonts w:ascii="Tahoma" w:hAnsi="Tahoma" w:cs="Tahoma"/>
                <w:sz w:val="16"/>
                <w:szCs w:val="20"/>
              </w:rPr>
            </w:pPr>
            <w:r w:rsidRPr="00D23046">
              <w:rPr>
                <w:rFonts w:ascii="Tahoma" w:hAnsi="Tahoma" w:cs="Tahoma"/>
                <w:sz w:val="16"/>
                <w:szCs w:val="20"/>
              </w:rPr>
              <w:t>4.044.679</w:t>
            </w:r>
          </w:p>
        </w:tc>
        <w:tc>
          <w:tcPr>
            <w:tcW w:w="1360" w:type="dxa"/>
            <w:tcBorders>
              <w:top w:val="nil"/>
              <w:left w:val="nil"/>
              <w:bottom w:val="single" w:sz="4" w:space="0" w:color="auto"/>
              <w:right w:val="single" w:sz="4" w:space="0" w:color="auto"/>
            </w:tcBorders>
            <w:shd w:val="clear" w:color="auto" w:fill="auto"/>
            <w:noWrap/>
            <w:vAlign w:val="center"/>
            <w:hideMark/>
          </w:tcPr>
          <w:p w14:paraId="086E5E80" w14:textId="77777777" w:rsidR="009D3B5A" w:rsidRPr="00D23046" w:rsidRDefault="009D3B5A" w:rsidP="009D3B5A">
            <w:pPr>
              <w:jc w:val="right"/>
              <w:rPr>
                <w:rFonts w:ascii="Tahoma" w:hAnsi="Tahoma" w:cs="Tahoma"/>
                <w:sz w:val="16"/>
                <w:szCs w:val="20"/>
              </w:rPr>
            </w:pPr>
            <w:r w:rsidRPr="00D23046">
              <w:rPr>
                <w:rFonts w:ascii="Tahoma" w:hAnsi="Tahoma" w:cs="Tahoma"/>
                <w:sz w:val="16"/>
                <w:szCs w:val="20"/>
              </w:rPr>
              <w:t>4.189.600</w:t>
            </w:r>
          </w:p>
        </w:tc>
        <w:tc>
          <w:tcPr>
            <w:tcW w:w="1360" w:type="dxa"/>
            <w:tcBorders>
              <w:top w:val="nil"/>
              <w:left w:val="nil"/>
              <w:bottom w:val="single" w:sz="4" w:space="0" w:color="auto"/>
              <w:right w:val="single" w:sz="4" w:space="0" w:color="auto"/>
            </w:tcBorders>
            <w:shd w:val="clear" w:color="auto" w:fill="auto"/>
            <w:noWrap/>
            <w:vAlign w:val="center"/>
            <w:hideMark/>
          </w:tcPr>
          <w:p w14:paraId="0D2C0D4D" w14:textId="77777777" w:rsidR="009D3B5A" w:rsidRPr="00D23046" w:rsidRDefault="009D3B5A" w:rsidP="009D3B5A">
            <w:pPr>
              <w:jc w:val="right"/>
              <w:rPr>
                <w:rFonts w:ascii="Tahoma" w:hAnsi="Tahoma" w:cs="Tahoma"/>
                <w:sz w:val="16"/>
                <w:szCs w:val="20"/>
              </w:rPr>
            </w:pPr>
            <w:r w:rsidRPr="00D23046">
              <w:rPr>
                <w:rFonts w:ascii="Tahoma" w:hAnsi="Tahoma" w:cs="Tahoma"/>
                <w:sz w:val="16"/>
                <w:szCs w:val="20"/>
              </w:rPr>
              <w:t>4.331.087</w:t>
            </w:r>
          </w:p>
        </w:tc>
        <w:tc>
          <w:tcPr>
            <w:tcW w:w="1360" w:type="dxa"/>
            <w:tcBorders>
              <w:top w:val="nil"/>
              <w:left w:val="nil"/>
              <w:bottom w:val="single" w:sz="4" w:space="0" w:color="auto"/>
              <w:right w:val="single" w:sz="4" w:space="0" w:color="auto"/>
            </w:tcBorders>
            <w:shd w:val="clear" w:color="auto" w:fill="auto"/>
            <w:noWrap/>
            <w:vAlign w:val="center"/>
            <w:hideMark/>
          </w:tcPr>
          <w:p w14:paraId="6E06EA4F" w14:textId="77777777" w:rsidR="009D3B5A" w:rsidRPr="00D23046" w:rsidRDefault="009D3B5A" w:rsidP="009D3B5A">
            <w:pPr>
              <w:jc w:val="right"/>
              <w:rPr>
                <w:rFonts w:ascii="Tahoma" w:hAnsi="Tahoma" w:cs="Tahoma"/>
                <w:sz w:val="16"/>
                <w:szCs w:val="20"/>
              </w:rPr>
            </w:pPr>
            <w:r w:rsidRPr="00D23046">
              <w:rPr>
                <w:rFonts w:ascii="Tahoma" w:hAnsi="Tahoma" w:cs="Tahoma"/>
                <w:sz w:val="16"/>
                <w:szCs w:val="20"/>
              </w:rPr>
              <w:t>4.463.001</w:t>
            </w:r>
          </w:p>
        </w:tc>
      </w:tr>
      <w:tr w:rsidR="009D3B5A" w:rsidRPr="00D23046" w14:paraId="308E5F80" w14:textId="77777777" w:rsidTr="009D3B5A">
        <w:trPr>
          <w:trHeight w:val="360"/>
        </w:trPr>
        <w:tc>
          <w:tcPr>
            <w:tcW w:w="3537" w:type="dxa"/>
            <w:tcBorders>
              <w:top w:val="nil"/>
              <w:left w:val="single" w:sz="4" w:space="0" w:color="auto"/>
              <w:bottom w:val="single" w:sz="4" w:space="0" w:color="auto"/>
              <w:right w:val="single" w:sz="4" w:space="0" w:color="auto"/>
            </w:tcBorders>
            <w:shd w:val="clear" w:color="auto" w:fill="auto"/>
            <w:noWrap/>
            <w:vAlign w:val="center"/>
            <w:hideMark/>
          </w:tcPr>
          <w:p w14:paraId="337CF1E1" w14:textId="77777777" w:rsidR="009D3B5A" w:rsidRPr="00D23046" w:rsidRDefault="009D3B5A" w:rsidP="009D3B5A">
            <w:pPr>
              <w:rPr>
                <w:rFonts w:ascii="Tahoma" w:hAnsi="Tahoma" w:cs="Tahoma"/>
                <w:sz w:val="16"/>
                <w:szCs w:val="20"/>
              </w:rPr>
            </w:pPr>
            <w:r w:rsidRPr="00D23046">
              <w:rPr>
                <w:rFonts w:ascii="Tahoma" w:hAnsi="Tahoma" w:cs="Tahoma"/>
                <w:sz w:val="16"/>
                <w:szCs w:val="20"/>
              </w:rPr>
              <w:t>Υπ</w:t>
            </w:r>
            <w:proofErr w:type="spellStart"/>
            <w:r w:rsidRPr="00D23046">
              <w:rPr>
                <w:rFonts w:ascii="Tahoma" w:hAnsi="Tahoma" w:cs="Tahoma"/>
                <w:sz w:val="16"/>
                <w:szCs w:val="20"/>
              </w:rPr>
              <w:t>όλοι</w:t>
            </w:r>
            <w:proofErr w:type="spellEnd"/>
            <w:r w:rsidRPr="00D23046">
              <w:rPr>
                <w:rFonts w:ascii="Tahoma" w:hAnsi="Tahoma" w:cs="Tahoma"/>
                <w:sz w:val="16"/>
                <w:szCs w:val="20"/>
              </w:rPr>
              <w:t xml:space="preserve">πο </w:t>
            </w:r>
            <w:proofErr w:type="spellStart"/>
            <w:r w:rsidRPr="00D23046">
              <w:rPr>
                <w:rFonts w:ascii="Tahoma" w:hAnsi="Tahoma" w:cs="Tahoma"/>
                <w:sz w:val="16"/>
                <w:szCs w:val="20"/>
              </w:rPr>
              <w:t>κερδών</w:t>
            </w:r>
            <w:proofErr w:type="spellEnd"/>
            <w:r w:rsidRPr="00D23046">
              <w:rPr>
                <w:rFonts w:ascii="Tahoma" w:hAnsi="Tahoma" w:cs="Tahoma"/>
                <w:sz w:val="16"/>
                <w:szCs w:val="20"/>
              </w:rPr>
              <w:t xml:space="preserve"> </w:t>
            </w:r>
            <w:proofErr w:type="spellStart"/>
            <w:r w:rsidRPr="00D23046">
              <w:rPr>
                <w:rFonts w:ascii="Tahoma" w:hAnsi="Tahoma" w:cs="Tahoma"/>
                <w:sz w:val="16"/>
                <w:szCs w:val="20"/>
              </w:rPr>
              <w:t>εις</w:t>
            </w:r>
            <w:proofErr w:type="spellEnd"/>
            <w:r w:rsidRPr="00D23046">
              <w:rPr>
                <w:rFonts w:ascii="Tahoma" w:hAnsi="Tahoma" w:cs="Tahoma"/>
                <w:sz w:val="16"/>
                <w:szCs w:val="20"/>
              </w:rPr>
              <w:t xml:space="preserve"> </w:t>
            </w:r>
            <w:proofErr w:type="spellStart"/>
            <w:r w:rsidRPr="00D23046">
              <w:rPr>
                <w:rFonts w:ascii="Tahoma" w:hAnsi="Tahoma" w:cs="Tahoma"/>
                <w:sz w:val="16"/>
                <w:szCs w:val="20"/>
              </w:rPr>
              <w:t>νέο</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5B5822FF" w14:textId="77777777" w:rsidR="009D3B5A" w:rsidRPr="00D23046" w:rsidRDefault="009D3B5A" w:rsidP="009D3B5A">
            <w:pPr>
              <w:jc w:val="right"/>
              <w:rPr>
                <w:rFonts w:ascii="Tahoma" w:hAnsi="Tahoma" w:cs="Tahoma"/>
                <w:sz w:val="16"/>
                <w:szCs w:val="20"/>
              </w:rPr>
            </w:pPr>
            <w:r w:rsidRPr="00D23046">
              <w:rPr>
                <w:rFonts w:ascii="Tahoma" w:hAnsi="Tahoma" w:cs="Tahoma"/>
                <w:sz w:val="16"/>
                <w:szCs w:val="20"/>
              </w:rPr>
              <w:t>-17.702.357</w:t>
            </w:r>
          </w:p>
        </w:tc>
        <w:tc>
          <w:tcPr>
            <w:tcW w:w="1360" w:type="dxa"/>
            <w:tcBorders>
              <w:top w:val="nil"/>
              <w:left w:val="nil"/>
              <w:bottom w:val="single" w:sz="4" w:space="0" w:color="auto"/>
              <w:right w:val="single" w:sz="4" w:space="0" w:color="auto"/>
            </w:tcBorders>
            <w:shd w:val="clear" w:color="auto" w:fill="auto"/>
            <w:noWrap/>
            <w:vAlign w:val="center"/>
            <w:hideMark/>
          </w:tcPr>
          <w:p w14:paraId="5F437DCE" w14:textId="77777777" w:rsidR="009D3B5A" w:rsidRPr="00D23046" w:rsidRDefault="009D3B5A" w:rsidP="009D3B5A">
            <w:pPr>
              <w:jc w:val="right"/>
              <w:rPr>
                <w:rFonts w:ascii="Tahoma" w:hAnsi="Tahoma" w:cs="Tahoma"/>
                <w:sz w:val="16"/>
                <w:szCs w:val="20"/>
              </w:rPr>
            </w:pPr>
            <w:r w:rsidRPr="00D23046">
              <w:rPr>
                <w:rFonts w:ascii="Tahoma" w:hAnsi="Tahoma" w:cs="Tahoma"/>
                <w:sz w:val="16"/>
                <w:szCs w:val="20"/>
              </w:rPr>
              <w:t>-17.336.220</w:t>
            </w:r>
          </w:p>
        </w:tc>
        <w:tc>
          <w:tcPr>
            <w:tcW w:w="1360" w:type="dxa"/>
            <w:tcBorders>
              <w:top w:val="nil"/>
              <w:left w:val="nil"/>
              <w:bottom w:val="single" w:sz="4" w:space="0" w:color="auto"/>
              <w:right w:val="single" w:sz="4" w:space="0" w:color="auto"/>
            </w:tcBorders>
            <w:shd w:val="clear" w:color="auto" w:fill="auto"/>
            <w:noWrap/>
            <w:vAlign w:val="center"/>
            <w:hideMark/>
          </w:tcPr>
          <w:p w14:paraId="3B3E3AA0" w14:textId="77777777" w:rsidR="009D3B5A" w:rsidRPr="00D23046" w:rsidRDefault="009D3B5A" w:rsidP="009D3B5A">
            <w:pPr>
              <w:jc w:val="right"/>
              <w:rPr>
                <w:rFonts w:ascii="Tahoma" w:hAnsi="Tahoma" w:cs="Tahoma"/>
                <w:sz w:val="16"/>
                <w:szCs w:val="20"/>
              </w:rPr>
            </w:pPr>
            <w:r w:rsidRPr="00D23046">
              <w:rPr>
                <w:rFonts w:ascii="Tahoma" w:hAnsi="Tahoma" w:cs="Tahoma"/>
                <w:sz w:val="16"/>
                <w:szCs w:val="20"/>
              </w:rPr>
              <w:t>-17.004.545</w:t>
            </w:r>
          </w:p>
        </w:tc>
        <w:tc>
          <w:tcPr>
            <w:tcW w:w="1360" w:type="dxa"/>
            <w:tcBorders>
              <w:top w:val="nil"/>
              <w:left w:val="nil"/>
              <w:bottom w:val="single" w:sz="4" w:space="0" w:color="auto"/>
              <w:right w:val="single" w:sz="4" w:space="0" w:color="auto"/>
            </w:tcBorders>
            <w:shd w:val="clear" w:color="auto" w:fill="auto"/>
            <w:noWrap/>
            <w:vAlign w:val="center"/>
            <w:hideMark/>
          </w:tcPr>
          <w:p w14:paraId="5D5BF074" w14:textId="77777777" w:rsidR="009D3B5A" w:rsidRPr="00D23046" w:rsidRDefault="009D3B5A" w:rsidP="009D3B5A">
            <w:pPr>
              <w:jc w:val="right"/>
              <w:rPr>
                <w:rFonts w:ascii="Tahoma" w:hAnsi="Tahoma" w:cs="Tahoma"/>
                <w:sz w:val="16"/>
                <w:szCs w:val="20"/>
              </w:rPr>
            </w:pPr>
            <w:r w:rsidRPr="00D23046">
              <w:rPr>
                <w:rFonts w:ascii="Tahoma" w:hAnsi="Tahoma" w:cs="Tahoma"/>
                <w:sz w:val="16"/>
                <w:szCs w:val="20"/>
              </w:rPr>
              <w:t>-19.157.051</w:t>
            </w:r>
          </w:p>
        </w:tc>
        <w:tc>
          <w:tcPr>
            <w:tcW w:w="1360" w:type="dxa"/>
            <w:tcBorders>
              <w:top w:val="nil"/>
              <w:left w:val="nil"/>
              <w:bottom w:val="single" w:sz="4" w:space="0" w:color="auto"/>
              <w:right w:val="single" w:sz="4" w:space="0" w:color="auto"/>
            </w:tcBorders>
            <w:shd w:val="clear" w:color="auto" w:fill="auto"/>
            <w:noWrap/>
            <w:vAlign w:val="center"/>
            <w:hideMark/>
          </w:tcPr>
          <w:p w14:paraId="2B24744C" w14:textId="77777777" w:rsidR="009D3B5A" w:rsidRPr="00D23046" w:rsidRDefault="009D3B5A" w:rsidP="009D3B5A">
            <w:pPr>
              <w:jc w:val="right"/>
              <w:rPr>
                <w:rFonts w:ascii="Tahoma" w:hAnsi="Tahoma" w:cs="Tahoma"/>
                <w:sz w:val="16"/>
                <w:szCs w:val="20"/>
              </w:rPr>
            </w:pPr>
            <w:r w:rsidRPr="00D23046">
              <w:rPr>
                <w:rFonts w:ascii="Tahoma" w:hAnsi="Tahoma" w:cs="Tahoma"/>
                <w:sz w:val="16"/>
                <w:szCs w:val="20"/>
              </w:rPr>
              <w:t>-14.187.784</w:t>
            </w:r>
          </w:p>
        </w:tc>
      </w:tr>
      <w:tr w:rsidR="009D3B5A" w:rsidRPr="00D23046" w14:paraId="4A9918EA" w14:textId="77777777" w:rsidTr="009D3B5A">
        <w:trPr>
          <w:trHeight w:val="360"/>
        </w:trPr>
        <w:tc>
          <w:tcPr>
            <w:tcW w:w="3537" w:type="dxa"/>
            <w:tcBorders>
              <w:top w:val="nil"/>
              <w:left w:val="single" w:sz="4" w:space="0" w:color="auto"/>
              <w:bottom w:val="single" w:sz="4" w:space="0" w:color="auto"/>
              <w:right w:val="single" w:sz="4" w:space="0" w:color="auto"/>
            </w:tcBorders>
            <w:shd w:val="clear" w:color="auto" w:fill="auto"/>
            <w:noWrap/>
            <w:vAlign w:val="center"/>
            <w:hideMark/>
          </w:tcPr>
          <w:p w14:paraId="60F28DCF" w14:textId="77777777" w:rsidR="009D3B5A" w:rsidRPr="00D23046" w:rsidRDefault="009D3B5A" w:rsidP="009D3B5A">
            <w:pPr>
              <w:rPr>
                <w:rFonts w:ascii="Tahoma" w:hAnsi="Tahoma" w:cs="Tahoma"/>
                <w:b/>
                <w:bCs/>
                <w:sz w:val="16"/>
                <w:szCs w:val="20"/>
              </w:rPr>
            </w:pPr>
            <w:proofErr w:type="spellStart"/>
            <w:r w:rsidRPr="00D23046">
              <w:rPr>
                <w:rFonts w:ascii="Tahoma" w:hAnsi="Tahoma" w:cs="Tahoma"/>
                <w:b/>
                <w:bCs/>
                <w:sz w:val="16"/>
                <w:szCs w:val="20"/>
              </w:rPr>
              <w:t>Σύνολο</w:t>
            </w:r>
            <w:proofErr w:type="spellEnd"/>
            <w:r w:rsidRPr="00D23046">
              <w:rPr>
                <w:rFonts w:ascii="Tahoma" w:hAnsi="Tahoma" w:cs="Tahoma"/>
                <w:b/>
                <w:bCs/>
                <w:sz w:val="16"/>
                <w:szCs w:val="20"/>
              </w:rPr>
              <w:t xml:space="preserve"> </w:t>
            </w:r>
            <w:proofErr w:type="spellStart"/>
            <w:r w:rsidRPr="00D23046">
              <w:rPr>
                <w:rFonts w:ascii="Tahoma" w:hAnsi="Tahoma" w:cs="Tahoma"/>
                <w:b/>
                <w:bCs/>
                <w:sz w:val="16"/>
                <w:szCs w:val="20"/>
              </w:rPr>
              <w:t>ιδίων</w:t>
            </w:r>
            <w:proofErr w:type="spellEnd"/>
            <w:r w:rsidRPr="00D23046">
              <w:rPr>
                <w:rFonts w:ascii="Tahoma" w:hAnsi="Tahoma" w:cs="Tahoma"/>
                <w:b/>
                <w:bCs/>
                <w:sz w:val="16"/>
                <w:szCs w:val="20"/>
              </w:rPr>
              <w:t xml:space="preserve"> </w:t>
            </w:r>
            <w:proofErr w:type="spellStart"/>
            <w:r w:rsidRPr="00D23046">
              <w:rPr>
                <w:rFonts w:ascii="Tahoma" w:hAnsi="Tahoma" w:cs="Tahoma"/>
                <w:b/>
                <w:bCs/>
                <w:sz w:val="16"/>
                <w:szCs w:val="20"/>
              </w:rPr>
              <w:t>κεφ</w:t>
            </w:r>
            <w:proofErr w:type="spellEnd"/>
            <w:r w:rsidRPr="00D23046">
              <w:rPr>
                <w:rFonts w:ascii="Tahoma" w:hAnsi="Tahoma" w:cs="Tahoma"/>
                <w:b/>
                <w:bCs/>
                <w:sz w:val="16"/>
                <w:szCs w:val="20"/>
              </w:rPr>
              <w:t>αλαίων</w:t>
            </w:r>
          </w:p>
        </w:tc>
        <w:tc>
          <w:tcPr>
            <w:tcW w:w="1360" w:type="dxa"/>
            <w:tcBorders>
              <w:top w:val="nil"/>
              <w:left w:val="nil"/>
              <w:bottom w:val="single" w:sz="4" w:space="0" w:color="auto"/>
              <w:right w:val="single" w:sz="4" w:space="0" w:color="auto"/>
            </w:tcBorders>
            <w:shd w:val="clear" w:color="auto" w:fill="auto"/>
            <w:noWrap/>
            <w:vAlign w:val="center"/>
            <w:hideMark/>
          </w:tcPr>
          <w:p w14:paraId="54373602" w14:textId="77777777" w:rsidR="009D3B5A" w:rsidRPr="00D23046" w:rsidRDefault="009D3B5A" w:rsidP="009D3B5A">
            <w:pPr>
              <w:jc w:val="right"/>
              <w:rPr>
                <w:rFonts w:ascii="Tahoma" w:hAnsi="Tahoma" w:cs="Tahoma"/>
                <w:b/>
                <w:bCs/>
                <w:sz w:val="16"/>
                <w:szCs w:val="20"/>
              </w:rPr>
            </w:pPr>
            <w:r w:rsidRPr="00D23046">
              <w:rPr>
                <w:rFonts w:ascii="Tahoma" w:hAnsi="Tahoma" w:cs="Tahoma"/>
                <w:b/>
                <w:bCs/>
                <w:sz w:val="16"/>
                <w:szCs w:val="20"/>
              </w:rPr>
              <w:t>12.438.705</w:t>
            </w:r>
          </w:p>
        </w:tc>
        <w:tc>
          <w:tcPr>
            <w:tcW w:w="1360" w:type="dxa"/>
            <w:tcBorders>
              <w:top w:val="nil"/>
              <w:left w:val="nil"/>
              <w:bottom w:val="single" w:sz="4" w:space="0" w:color="auto"/>
              <w:right w:val="single" w:sz="4" w:space="0" w:color="auto"/>
            </w:tcBorders>
            <w:shd w:val="clear" w:color="auto" w:fill="auto"/>
            <w:noWrap/>
            <w:vAlign w:val="center"/>
            <w:hideMark/>
          </w:tcPr>
          <w:p w14:paraId="651FD593" w14:textId="77777777" w:rsidR="009D3B5A" w:rsidRPr="00D23046" w:rsidRDefault="009D3B5A" w:rsidP="009D3B5A">
            <w:pPr>
              <w:jc w:val="right"/>
              <w:rPr>
                <w:rFonts w:ascii="Tahoma" w:hAnsi="Tahoma" w:cs="Tahoma"/>
                <w:b/>
                <w:bCs/>
                <w:sz w:val="16"/>
                <w:szCs w:val="20"/>
              </w:rPr>
            </w:pPr>
            <w:r w:rsidRPr="00D23046">
              <w:rPr>
                <w:rFonts w:ascii="Tahoma" w:hAnsi="Tahoma" w:cs="Tahoma"/>
                <w:b/>
                <w:bCs/>
                <w:sz w:val="16"/>
                <w:szCs w:val="20"/>
              </w:rPr>
              <w:t>13.082.073</w:t>
            </w:r>
          </w:p>
        </w:tc>
        <w:tc>
          <w:tcPr>
            <w:tcW w:w="1360" w:type="dxa"/>
            <w:tcBorders>
              <w:top w:val="nil"/>
              <w:left w:val="nil"/>
              <w:bottom w:val="single" w:sz="4" w:space="0" w:color="auto"/>
              <w:right w:val="single" w:sz="4" w:space="0" w:color="auto"/>
            </w:tcBorders>
            <w:shd w:val="clear" w:color="auto" w:fill="auto"/>
            <w:noWrap/>
            <w:vAlign w:val="center"/>
            <w:hideMark/>
          </w:tcPr>
          <w:p w14:paraId="115142FE" w14:textId="77777777" w:rsidR="009D3B5A" w:rsidRPr="00D23046" w:rsidRDefault="009D3B5A" w:rsidP="009D3B5A">
            <w:pPr>
              <w:jc w:val="right"/>
              <w:rPr>
                <w:rFonts w:ascii="Tahoma" w:hAnsi="Tahoma" w:cs="Tahoma"/>
                <w:b/>
                <w:bCs/>
                <w:sz w:val="16"/>
                <w:szCs w:val="20"/>
              </w:rPr>
            </w:pPr>
            <w:r w:rsidRPr="00D23046">
              <w:rPr>
                <w:rFonts w:ascii="Tahoma" w:hAnsi="Tahoma" w:cs="Tahoma"/>
                <w:b/>
                <w:bCs/>
                <w:sz w:val="16"/>
                <w:szCs w:val="20"/>
              </w:rPr>
              <w:t>13.763.997</w:t>
            </w:r>
          </w:p>
        </w:tc>
        <w:tc>
          <w:tcPr>
            <w:tcW w:w="1360" w:type="dxa"/>
            <w:tcBorders>
              <w:top w:val="nil"/>
              <w:left w:val="nil"/>
              <w:bottom w:val="single" w:sz="4" w:space="0" w:color="auto"/>
              <w:right w:val="single" w:sz="4" w:space="0" w:color="auto"/>
            </w:tcBorders>
            <w:shd w:val="clear" w:color="auto" w:fill="auto"/>
            <w:noWrap/>
            <w:vAlign w:val="center"/>
            <w:hideMark/>
          </w:tcPr>
          <w:p w14:paraId="7583D4E6" w14:textId="77777777" w:rsidR="009D3B5A" w:rsidRPr="00D23046" w:rsidRDefault="009D3B5A" w:rsidP="009D3B5A">
            <w:pPr>
              <w:jc w:val="right"/>
              <w:rPr>
                <w:rFonts w:ascii="Tahoma" w:hAnsi="Tahoma" w:cs="Tahoma"/>
                <w:b/>
                <w:bCs/>
                <w:sz w:val="16"/>
                <w:szCs w:val="20"/>
              </w:rPr>
            </w:pPr>
            <w:r w:rsidRPr="00D23046">
              <w:rPr>
                <w:rFonts w:ascii="Tahoma" w:hAnsi="Tahoma" w:cs="Tahoma"/>
                <w:b/>
                <w:bCs/>
                <w:sz w:val="16"/>
                <w:szCs w:val="20"/>
              </w:rPr>
              <w:t>12.163.521</w:t>
            </w:r>
          </w:p>
        </w:tc>
        <w:tc>
          <w:tcPr>
            <w:tcW w:w="1360" w:type="dxa"/>
            <w:tcBorders>
              <w:top w:val="nil"/>
              <w:left w:val="nil"/>
              <w:bottom w:val="single" w:sz="4" w:space="0" w:color="auto"/>
              <w:right w:val="single" w:sz="4" w:space="0" w:color="auto"/>
            </w:tcBorders>
            <w:shd w:val="clear" w:color="auto" w:fill="auto"/>
            <w:noWrap/>
            <w:vAlign w:val="center"/>
            <w:hideMark/>
          </w:tcPr>
          <w:p w14:paraId="5D8B7875" w14:textId="77777777" w:rsidR="009D3B5A" w:rsidRPr="00D23046" w:rsidRDefault="009D3B5A" w:rsidP="009D3B5A">
            <w:pPr>
              <w:jc w:val="right"/>
              <w:rPr>
                <w:rFonts w:ascii="Tahoma" w:hAnsi="Tahoma" w:cs="Tahoma"/>
                <w:b/>
                <w:bCs/>
                <w:sz w:val="16"/>
                <w:szCs w:val="20"/>
              </w:rPr>
            </w:pPr>
            <w:r w:rsidRPr="00D23046">
              <w:rPr>
                <w:rFonts w:ascii="Tahoma" w:hAnsi="Tahoma" w:cs="Tahoma"/>
                <w:b/>
                <w:bCs/>
                <w:sz w:val="16"/>
                <w:szCs w:val="20"/>
              </w:rPr>
              <w:t>14.588.047</w:t>
            </w:r>
          </w:p>
        </w:tc>
      </w:tr>
      <w:tr w:rsidR="009D3B5A" w:rsidRPr="00D23046" w14:paraId="195A4E9F" w14:textId="77777777" w:rsidTr="009D3B5A">
        <w:trPr>
          <w:trHeight w:val="360"/>
        </w:trPr>
        <w:tc>
          <w:tcPr>
            <w:tcW w:w="3537" w:type="dxa"/>
            <w:tcBorders>
              <w:top w:val="nil"/>
              <w:left w:val="single" w:sz="4" w:space="0" w:color="auto"/>
              <w:bottom w:val="single" w:sz="4" w:space="0" w:color="auto"/>
              <w:right w:val="single" w:sz="4" w:space="0" w:color="auto"/>
            </w:tcBorders>
            <w:shd w:val="clear" w:color="auto" w:fill="auto"/>
            <w:noWrap/>
            <w:vAlign w:val="center"/>
            <w:hideMark/>
          </w:tcPr>
          <w:p w14:paraId="6E5D9EE0" w14:textId="77777777" w:rsidR="009D3B5A" w:rsidRPr="00D23046" w:rsidRDefault="009D3B5A" w:rsidP="009D3B5A">
            <w:pPr>
              <w:rPr>
                <w:rFonts w:ascii="Tahoma" w:hAnsi="Tahoma" w:cs="Tahoma"/>
                <w:sz w:val="16"/>
                <w:szCs w:val="20"/>
              </w:rPr>
            </w:pPr>
            <w:proofErr w:type="spellStart"/>
            <w:r w:rsidRPr="00D23046">
              <w:rPr>
                <w:rFonts w:ascii="Tahoma" w:hAnsi="Tahoma" w:cs="Tahoma"/>
                <w:sz w:val="16"/>
                <w:szCs w:val="20"/>
              </w:rPr>
              <w:t>Αριθμός</w:t>
            </w:r>
            <w:proofErr w:type="spellEnd"/>
            <w:r w:rsidRPr="00D23046">
              <w:rPr>
                <w:rFonts w:ascii="Tahoma" w:hAnsi="Tahoma" w:cs="Tahoma"/>
                <w:sz w:val="16"/>
                <w:szCs w:val="20"/>
              </w:rPr>
              <w:t xml:space="preserve"> Συνετα</w:t>
            </w:r>
            <w:proofErr w:type="spellStart"/>
            <w:r w:rsidRPr="00D23046">
              <w:rPr>
                <w:rFonts w:ascii="Tahoma" w:hAnsi="Tahoma" w:cs="Tahoma"/>
                <w:sz w:val="16"/>
                <w:szCs w:val="20"/>
              </w:rPr>
              <w:t>ιριστικών</w:t>
            </w:r>
            <w:proofErr w:type="spellEnd"/>
            <w:r w:rsidRPr="00D23046">
              <w:rPr>
                <w:rFonts w:ascii="Tahoma" w:hAnsi="Tahoma" w:cs="Tahoma"/>
                <w:sz w:val="16"/>
                <w:szCs w:val="20"/>
              </w:rPr>
              <w:t xml:space="preserve"> </w:t>
            </w:r>
            <w:proofErr w:type="spellStart"/>
            <w:r w:rsidRPr="00D23046">
              <w:rPr>
                <w:rFonts w:ascii="Tahoma" w:hAnsi="Tahoma" w:cs="Tahoma"/>
                <w:sz w:val="16"/>
                <w:szCs w:val="20"/>
              </w:rPr>
              <w:t>Μερίδων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8A4D75C" w14:textId="77777777" w:rsidR="009D3B5A" w:rsidRPr="00D23046" w:rsidRDefault="009D3B5A" w:rsidP="009D3B5A">
            <w:pPr>
              <w:jc w:val="right"/>
              <w:rPr>
                <w:rFonts w:ascii="Tahoma" w:hAnsi="Tahoma" w:cs="Tahoma"/>
                <w:sz w:val="16"/>
                <w:szCs w:val="20"/>
              </w:rPr>
            </w:pPr>
            <w:r w:rsidRPr="00D23046">
              <w:rPr>
                <w:rFonts w:ascii="Tahoma" w:hAnsi="Tahoma" w:cs="Tahoma"/>
                <w:sz w:val="16"/>
                <w:szCs w:val="20"/>
              </w:rPr>
              <w:t>326.187</w:t>
            </w:r>
          </w:p>
        </w:tc>
        <w:tc>
          <w:tcPr>
            <w:tcW w:w="1360" w:type="dxa"/>
            <w:tcBorders>
              <w:top w:val="nil"/>
              <w:left w:val="nil"/>
              <w:bottom w:val="single" w:sz="4" w:space="0" w:color="auto"/>
              <w:right w:val="single" w:sz="4" w:space="0" w:color="auto"/>
            </w:tcBorders>
            <w:shd w:val="clear" w:color="auto" w:fill="auto"/>
            <w:noWrap/>
            <w:vAlign w:val="center"/>
            <w:hideMark/>
          </w:tcPr>
          <w:p w14:paraId="06E6B220" w14:textId="77777777" w:rsidR="009D3B5A" w:rsidRPr="00D23046" w:rsidRDefault="009D3B5A" w:rsidP="009D3B5A">
            <w:pPr>
              <w:jc w:val="right"/>
              <w:rPr>
                <w:rFonts w:ascii="Tahoma" w:hAnsi="Tahoma" w:cs="Tahoma"/>
                <w:sz w:val="16"/>
                <w:szCs w:val="20"/>
              </w:rPr>
            </w:pPr>
            <w:r w:rsidRPr="00D23046">
              <w:rPr>
                <w:rFonts w:ascii="Tahoma" w:hAnsi="Tahoma" w:cs="Tahoma"/>
                <w:sz w:val="16"/>
                <w:szCs w:val="20"/>
              </w:rPr>
              <w:t>329.724</w:t>
            </w:r>
          </w:p>
        </w:tc>
        <w:tc>
          <w:tcPr>
            <w:tcW w:w="1360" w:type="dxa"/>
            <w:tcBorders>
              <w:top w:val="nil"/>
              <w:left w:val="nil"/>
              <w:bottom w:val="single" w:sz="4" w:space="0" w:color="auto"/>
              <w:right w:val="single" w:sz="4" w:space="0" w:color="auto"/>
            </w:tcBorders>
            <w:shd w:val="clear" w:color="auto" w:fill="auto"/>
            <w:noWrap/>
            <w:vAlign w:val="center"/>
            <w:hideMark/>
          </w:tcPr>
          <w:p w14:paraId="5B4C36F6" w14:textId="77777777" w:rsidR="009D3B5A" w:rsidRPr="00D23046" w:rsidRDefault="009D3B5A" w:rsidP="009D3B5A">
            <w:pPr>
              <w:jc w:val="right"/>
              <w:rPr>
                <w:rFonts w:ascii="Tahoma" w:hAnsi="Tahoma" w:cs="Tahoma"/>
                <w:sz w:val="16"/>
                <w:szCs w:val="20"/>
              </w:rPr>
            </w:pPr>
            <w:r w:rsidRPr="00D23046">
              <w:rPr>
                <w:rFonts w:ascii="Tahoma" w:hAnsi="Tahoma" w:cs="Tahoma"/>
                <w:sz w:val="16"/>
                <w:szCs w:val="20"/>
              </w:rPr>
              <w:t>334.136</w:t>
            </w:r>
          </w:p>
        </w:tc>
        <w:tc>
          <w:tcPr>
            <w:tcW w:w="1360" w:type="dxa"/>
            <w:tcBorders>
              <w:top w:val="nil"/>
              <w:left w:val="nil"/>
              <w:bottom w:val="single" w:sz="4" w:space="0" w:color="auto"/>
              <w:right w:val="single" w:sz="4" w:space="0" w:color="auto"/>
            </w:tcBorders>
            <w:shd w:val="clear" w:color="auto" w:fill="auto"/>
            <w:noWrap/>
            <w:vAlign w:val="center"/>
            <w:hideMark/>
          </w:tcPr>
          <w:p w14:paraId="15E56432" w14:textId="77777777" w:rsidR="009D3B5A" w:rsidRPr="00D23046" w:rsidRDefault="009D3B5A" w:rsidP="009D3B5A">
            <w:pPr>
              <w:jc w:val="right"/>
              <w:rPr>
                <w:rFonts w:ascii="Tahoma" w:hAnsi="Tahoma" w:cs="Tahoma"/>
                <w:sz w:val="16"/>
                <w:szCs w:val="20"/>
              </w:rPr>
            </w:pPr>
            <w:r w:rsidRPr="00D23046">
              <w:rPr>
                <w:rFonts w:ascii="Tahoma" w:hAnsi="Tahoma" w:cs="Tahoma"/>
                <w:sz w:val="16"/>
                <w:szCs w:val="20"/>
              </w:rPr>
              <w:t>344.282</w:t>
            </w:r>
          </w:p>
        </w:tc>
        <w:tc>
          <w:tcPr>
            <w:tcW w:w="1360" w:type="dxa"/>
            <w:tcBorders>
              <w:top w:val="nil"/>
              <w:left w:val="nil"/>
              <w:bottom w:val="single" w:sz="4" w:space="0" w:color="auto"/>
              <w:right w:val="single" w:sz="4" w:space="0" w:color="auto"/>
            </w:tcBorders>
            <w:shd w:val="clear" w:color="auto" w:fill="auto"/>
            <w:noWrap/>
            <w:vAlign w:val="center"/>
            <w:hideMark/>
          </w:tcPr>
          <w:p w14:paraId="1C418A10" w14:textId="77777777" w:rsidR="009D3B5A" w:rsidRPr="00D23046" w:rsidRDefault="009D3B5A" w:rsidP="009D3B5A">
            <w:pPr>
              <w:jc w:val="right"/>
              <w:rPr>
                <w:rFonts w:ascii="Tahoma" w:hAnsi="Tahoma" w:cs="Tahoma"/>
                <w:sz w:val="16"/>
                <w:szCs w:val="20"/>
              </w:rPr>
            </w:pPr>
            <w:r w:rsidRPr="00D23046">
              <w:rPr>
                <w:rFonts w:ascii="Tahoma" w:hAnsi="Tahoma" w:cs="Tahoma"/>
                <w:sz w:val="16"/>
                <w:szCs w:val="20"/>
              </w:rPr>
              <w:t>393.020</w:t>
            </w:r>
          </w:p>
        </w:tc>
      </w:tr>
      <w:tr w:rsidR="009D3B5A" w:rsidRPr="00D23046" w14:paraId="59B59087" w14:textId="77777777" w:rsidTr="009D3B5A">
        <w:trPr>
          <w:trHeight w:val="360"/>
        </w:trPr>
        <w:tc>
          <w:tcPr>
            <w:tcW w:w="3537" w:type="dxa"/>
            <w:tcBorders>
              <w:top w:val="nil"/>
              <w:left w:val="single" w:sz="4" w:space="0" w:color="auto"/>
              <w:bottom w:val="single" w:sz="4" w:space="0" w:color="auto"/>
              <w:right w:val="single" w:sz="4" w:space="0" w:color="auto"/>
            </w:tcBorders>
            <w:shd w:val="clear" w:color="auto" w:fill="auto"/>
            <w:noWrap/>
            <w:vAlign w:val="center"/>
            <w:hideMark/>
          </w:tcPr>
          <w:p w14:paraId="3886F630" w14:textId="77777777" w:rsidR="009D3B5A" w:rsidRPr="00D23046" w:rsidRDefault="009D3B5A" w:rsidP="009D3B5A">
            <w:pPr>
              <w:rPr>
                <w:rFonts w:ascii="Tahoma" w:hAnsi="Tahoma" w:cs="Tahoma"/>
                <w:sz w:val="16"/>
                <w:szCs w:val="20"/>
              </w:rPr>
            </w:pPr>
            <w:proofErr w:type="spellStart"/>
            <w:r w:rsidRPr="00D23046">
              <w:rPr>
                <w:rFonts w:ascii="Tahoma" w:hAnsi="Tahoma" w:cs="Tahoma"/>
                <w:sz w:val="16"/>
                <w:szCs w:val="20"/>
              </w:rPr>
              <w:t>Ονομ</w:t>
            </w:r>
            <w:proofErr w:type="spellEnd"/>
            <w:r w:rsidRPr="00D23046">
              <w:rPr>
                <w:rFonts w:ascii="Tahoma" w:hAnsi="Tahoma" w:cs="Tahoma"/>
                <w:sz w:val="16"/>
                <w:szCs w:val="20"/>
              </w:rPr>
              <w:t xml:space="preserve">αστική </w:t>
            </w:r>
            <w:proofErr w:type="spellStart"/>
            <w:r w:rsidRPr="00D23046">
              <w:rPr>
                <w:rFonts w:ascii="Tahoma" w:hAnsi="Tahoma" w:cs="Tahoma"/>
                <w:sz w:val="16"/>
                <w:szCs w:val="20"/>
              </w:rPr>
              <w:t>τιμή</w:t>
            </w:r>
            <w:proofErr w:type="spellEnd"/>
            <w:r w:rsidRPr="00D23046">
              <w:rPr>
                <w:rFonts w:ascii="Tahoma" w:hAnsi="Tahoma" w:cs="Tahoma"/>
                <w:sz w:val="16"/>
                <w:szCs w:val="20"/>
              </w:rPr>
              <w:t xml:space="preserve"> </w:t>
            </w:r>
            <w:proofErr w:type="spellStart"/>
            <w:r w:rsidRPr="00D23046">
              <w:rPr>
                <w:rFonts w:ascii="Tahoma" w:hAnsi="Tahoma" w:cs="Tahoma"/>
                <w:sz w:val="16"/>
                <w:szCs w:val="20"/>
              </w:rPr>
              <w:t>μερίδ</w:t>
            </w:r>
            <w:proofErr w:type="spellEnd"/>
            <w:r w:rsidRPr="00D23046">
              <w:rPr>
                <w:rFonts w:ascii="Tahoma" w:hAnsi="Tahoma" w:cs="Tahoma"/>
                <w:sz w:val="16"/>
                <w:szCs w:val="20"/>
              </w:rPr>
              <w:t>ας</w:t>
            </w:r>
          </w:p>
        </w:tc>
        <w:tc>
          <w:tcPr>
            <w:tcW w:w="1360" w:type="dxa"/>
            <w:tcBorders>
              <w:top w:val="nil"/>
              <w:left w:val="nil"/>
              <w:bottom w:val="single" w:sz="4" w:space="0" w:color="auto"/>
              <w:right w:val="single" w:sz="4" w:space="0" w:color="auto"/>
            </w:tcBorders>
            <w:shd w:val="clear" w:color="auto" w:fill="auto"/>
            <w:noWrap/>
            <w:vAlign w:val="center"/>
            <w:hideMark/>
          </w:tcPr>
          <w:p w14:paraId="2C9F73C5" w14:textId="77777777" w:rsidR="009D3B5A" w:rsidRPr="00D23046" w:rsidRDefault="009D3B5A" w:rsidP="009D3B5A">
            <w:pPr>
              <w:jc w:val="right"/>
              <w:rPr>
                <w:rFonts w:ascii="Tahoma" w:hAnsi="Tahoma" w:cs="Tahoma"/>
                <w:sz w:val="16"/>
                <w:szCs w:val="20"/>
              </w:rPr>
            </w:pPr>
            <w:r w:rsidRPr="00D23046">
              <w:rPr>
                <w:rFonts w:ascii="Tahoma" w:hAnsi="Tahoma" w:cs="Tahoma"/>
                <w:sz w:val="16"/>
                <w:szCs w:val="20"/>
              </w:rPr>
              <w:t>36,69</w:t>
            </w:r>
          </w:p>
        </w:tc>
        <w:tc>
          <w:tcPr>
            <w:tcW w:w="1360" w:type="dxa"/>
            <w:tcBorders>
              <w:top w:val="nil"/>
              <w:left w:val="nil"/>
              <w:bottom w:val="single" w:sz="4" w:space="0" w:color="auto"/>
              <w:right w:val="single" w:sz="4" w:space="0" w:color="auto"/>
            </w:tcBorders>
            <w:shd w:val="clear" w:color="auto" w:fill="auto"/>
            <w:noWrap/>
            <w:vAlign w:val="center"/>
            <w:hideMark/>
          </w:tcPr>
          <w:p w14:paraId="7C29085B" w14:textId="77777777" w:rsidR="009D3B5A" w:rsidRPr="00D23046" w:rsidRDefault="009D3B5A" w:rsidP="009D3B5A">
            <w:pPr>
              <w:jc w:val="right"/>
              <w:rPr>
                <w:rFonts w:ascii="Tahoma" w:hAnsi="Tahoma" w:cs="Tahoma"/>
                <w:sz w:val="16"/>
                <w:szCs w:val="20"/>
              </w:rPr>
            </w:pPr>
            <w:r w:rsidRPr="00D23046">
              <w:rPr>
                <w:rFonts w:ascii="Tahoma" w:hAnsi="Tahoma" w:cs="Tahoma"/>
                <w:sz w:val="16"/>
                <w:szCs w:val="20"/>
              </w:rPr>
              <w:t>36,69</w:t>
            </w:r>
          </w:p>
        </w:tc>
        <w:tc>
          <w:tcPr>
            <w:tcW w:w="1360" w:type="dxa"/>
            <w:tcBorders>
              <w:top w:val="nil"/>
              <w:left w:val="nil"/>
              <w:bottom w:val="single" w:sz="4" w:space="0" w:color="auto"/>
              <w:right w:val="single" w:sz="4" w:space="0" w:color="auto"/>
            </w:tcBorders>
            <w:shd w:val="clear" w:color="auto" w:fill="auto"/>
            <w:noWrap/>
            <w:vAlign w:val="center"/>
            <w:hideMark/>
          </w:tcPr>
          <w:p w14:paraId="4D328950" w14:textId="77777777" w:rsidR="009D3B5A" w:rsidRPr="00D23046" w:rsidRDefault="009D3B5A" w:rsidP="009D3B5A">
            <w:pPr>
              <w:jc w:val="right"/>
              <w:rPr>
                <w:rFonts w:ascii="Tahoma" w:hAnsi="Tahoma" w:cs="Tahoma"/>
                <w:sz w:val="16"/>
                <w:szCs w:val="20"/>
              </w:rPr>
            </w:pPr>
            <w:r w:rsidRPr="00D23046">
              <w:rPr>
                <w:rFonts w:ascii="Tahoma" w:hAnsi="Tahoma" w:cs="Tahoma"/>
                <w:sz w:val="16"/>
                <w:szCs w:val="20"/>
              </w:rPr>
              <w:t>36,69</w:t>
            </w:r>
          </w:p>
        </w:tc>
        <w:tc>
          <w:tcPr>
            <w:tcW w:w="1360" w:type="dxa"/>
            <w:tcBorders>
              <w:top w:val="nil"/>
              <w:left w:val="nil"/>
              <w:bottom w:val="single" w:sz="4" w:space="0" w:color="auto"/>
              <w:right w:val="single" w:sz="4" w:space="0" w:color="auto"/>
            </w:tcBorders>
            <w:shd w:val="clear" w:color="auto" w:fill="auto"/>
            <w:noWrap/>
            <w:vAlign w:val="center"/>
            <w:hideMark/>
          </w:tcPr>
          <w:p w14:paraId="26CA9E73" w14:textId="77777777" w:rsidR="009D3B5A" w:rsidRPr="00D23046" w:rsidRDefault="009D3B5A" w:rsidP="009D3B5A">
            <w:pPr>
              <w:jc w:val="right"/>
              <w:rPr>
                <w:rFonts w:ascii="Tahoma" w:hAnsi="Tahoma" w:cs="Tahoma"/>
                <w:sz w:val="16"/>
                <w:szCs w:val="20"/>
              </w:rPr>
            </w:pPr>
            <w:r w:rsidRPr="00D23046">
              <w:rPr>
                <w:rFonts w:ascii="Tahoma" w:hAnsi="Tahoma" w:cs="Tahoma"/>
                <w:sz w:val="16"/>
                <w:szCs w:val="20"/>
              </w:rPr>
              <w:t>36,69</w:t>
            </w:r>
          </w:p>
        </w:tc>
        <w:tc>
          <w:tcPr>
            <w:tcW w:w="1360" w:type="dxa"/>
            <w:tcBorders>
              <w:top w:val="nil"/>
              <w:left w:val="nil"/>
              <w:bottom w:val="single" w:sz="4" w:space="0" w:color="auto"/>
              <w:right w:val="single" w:sz="4" w:space="0" w:color="auto"/>
            </w:tcBorders>
            <w:shd w:val="clear" w:color="auto" w:fill="auto"/>
            <w:noWrap/>
            <w:vAlign w:val="center"/>
            <w:hideMark/>
          </w:tcPr>
          <w:p w14:paraId="462D7A31" w14:textId="77777777" w:rsidR="009D3B5A" w:rsidRPr="00D23046" w:rsidRDefault="009D3B5A" w:rsidP="009D3B5A">
            <w:pPr>
              <w:jc w:val="right"/>
              <w:rPr>
                <w:rFonts w:ascii="Tahoma" w:hAnsi="Tahoma" w:cs="Tahoma"/>
                <w:sz w:val="16"/>
                <w:szCs w:val="20"/>
              </w:rPr>
            </w:pPr>
            <w:r w:rsidRPr="00D23046">
              <w:rPr>
                <w:rFonts w:ascii="Tahoma" w:hAnsi="Tahoma" w:cs="Tahoma"/>
                <w:sz w:val="16"/>
                <w:szCs w:val="20"/>
              </w:rPr>
              <w:t>25,00</w:t>
            </w:r>
          </w:p>
        </w:tc>
      </w:tr>
      <w:tr w:rsidR="009D3B5A" w:rsidRPr="00D23046" w14:paraId="3DFBD258" w14:textId="77777777" w:rsidTr="009D3B5A">
        <w:trPr>
          <w:trHeight w:val="360"/>
        </w:trPr>
        <w:tc>
          <w:tcPr>
            <w:tcW w:w="3537" w:type="dxa"/>
            <w:tcBorders>
              <w:top w:val="nil"/>
              <w:left w:val="single" w:sz="4" w:space="0" w:color="auto"/>
              <w:bottom w:val="single" w:sz="4" w:space="0" w:color="auto"/>
              <w:right w:val="single" w:sz="4" w:space="0" w:color="auto"/>
            </w:tcBorders>
            <w:shd w:val="clear" w:color="auto" w:fill="auto"/>
            <w:noWrap/>
            <w:vAlign w:val="center"/>
            <w:hideMark/>
          </w:tcPr>
          <w:p w14:paraId="25766602" w14:textId="77777777" w:rsidR="009D3B5A" w:rsidRPr="00D23046" w:rsidRDefault="009D3B5A" w:rsidP="009D3B5A">
            <w:pPr>
              <w:rPr>
                <w:rFonts w:ascii="Tahoma" w:hAnsi="Tahoma" w:cs="Tahoma"/>
                <w:sz w:val="16"/>
                <w:szCs w:val="20"/>
              </w:rPr>
            </w:pPr>
            <w:proofErr w:type="spellStart"/>
            <w:r w:rsidRPr="00D23046">
              <w:rPr>
                <w:rFonts w:ascii="Tahoma" w:hAnsi="Tahoma" w:cs="Tahoma"/>
                <w:sz w:val="16"/>
                <w:szCs w:val="20"/>
              </w:rPr>
              <w:t>Λογιστική</w:t>
            </w:r>
            <w:proofErr w:type="spellEnd"/>
            <w:r w:rsidRPr="00D23046">
              <w:rPr>
                <w:rFonts w:ascii="Tahoma" w:hAnsi="Tahoma" w:cs="Tahoma"/>
                <w:sz w:val="16"/>
                <w:szCs w:val="20"/>
              </w:rPr>
              <w:t xml:space="preserve"> α</w:t>
            </w:r>
            <w:proofErr w:type="spellStart"/>
            <w:r w:rsidRPr="00D23046">
              <w:rPr>
                <w:rFonts w:ascii="Tahoma" w:hAnsi="Tahoma" w:cs="Tahoma"/>
                <w:sz w:val="16"/>
                <w:szCs w:val="20"/>
              </w:rPr>
              <w:t>ξί</w:t>
            </w:r>
            <w:proofErr w:type="spellEnd"/>
            <w:r w:rsidRPr="00D23046">
              <w:rPr>
                <w:rFonts w:ascii="Tahoma" w:hAnsi="Tahoma" w:cs="Tahoma"/>
                <w:sz w:val="16"/>
                <w:szCs w:val="20"/>
              </w:rPr>
              <w:t xml:space="preserve">α </w:t>
            </w:r>
            <w:proofErr w:type="spellStart"/>
            <w:r w:rsidRPr="00D23046">
              <w:rPr>
                <w:rFonts w:ascii="Tahoma" w:hAnsi="Tahoma" w:cs="Tahoma"/>
                <w:sz w:val="16"/>
                <w:szCs w:val="20"/>
              </w:rPr>
              <w:t>μερίδ</w:t>
            </w:r>
            <w:proofErr w:type="spellEnd"/>
            <w:r w:rsidRPr="00D23046">
              <w:rPr>
                <w:rFonts w:ascii="Tahoma" w:hAnsi="Tahoma" w:cs="Tahoma"/>
                <w:sz w:val="16"/>
                <w:szCs w:val="20"/>
              </w:rPr>
              <w:t>ας</w:t>
            </w:r>
          </w:p>
        </w:tc>
        <w:tc>
          <w:tcPr>
            <w:tcW w:w="1360" w:type="dxa"/>
            <w:tcBorders>
              <w:top w:val="nil"/>
              <w:left w:val="nil"/>
              <w:bottom w:val="single" w:sz="4" w:space="0" w:color="auto"/>
              <w:right w:val="single" w:sz="4" w:space="0" w:color="auto"/>
            </w:tcBorders>
            <w:shd w:val="clear" w:color="auto" w:fill="auto"/>
            <w:noWrap/>
            <w:vAlign w:val="center"/>
            <w:hideMark/>
          </w:tcPr>
          <w:p w14:paraId="4A3421D5" w14:textId="77777777" w:rsidR="009D3B5A" w:rsidRPr="00D23046" w:rsidRDefault="009D3B5A" w:rsidP="009D3B5A">
            <w:pPr>
              <w:jc w:val="right"/>
              <w:rPr>
                <w:rFonts w:ascii="Tahoma" w:hAnsi="Tahoma" w:cs="Tahoma"/>
                <w:sz w:val="16"/>
                <w:szCs w:val="20"/>
              </w:rPr>
            </w:pPr>
            <w:r w:rsidRPr="00D23046">
              <w:rPr>
                <w:rFonts w:ascii="Tahoma" w:hAnsi="Tahoma" w:cs="Tahoma"/>
                <w:sz w:val="16"/>
                <w:szCs w:val="20"/>
              </w:rPr>
              <w:t>38,13</w:t>
            </w:r>
          </w:p>
        </w:tc>
        <w:tc>
          <w:tcPr>
            <w:tcW w:w="1360" w:type="dxa"/>
            <w:tcBorders>
              <w:top w:val="nil"/>
              <w:left w:val="nil"/>
              <w:bottom w:val="single" w:sz="4" w:space="0" w:color="auto"/>
              <w:right w:val="single" w:sz="4" w:space="0" w:color="auto"/>
            </w:tcBorders>
            <w:shd w:val="clear" w:color="auto" w:fill="auto"/>
            <w:noWrap/>
            <w:vAlign w:val="center"/>
            <w:hideMark/>
          </w:tcPr>
          <w:p w14:paraId="4D02D0AE" w14:textId="77777777" w:rsidR="009D3B5A" w:rsidRPr="00D23046" w:rsidRDefault="009D3B5A" w:rsidP="009D3B5A">
            <w:pPr>
              <w:jc w:val="right"/>
              <w:rPr>
                <w:rFonts w:ascii="Tahoma" w:hAnsi="Tahoma" w:cs="Tahoma"/>
                <w:sz w:val="16"/>
                <w:szCs w:val="20"/>
              </w:rPr>
            </w:pPr>
            <w:r w:rsidRPr="00D23046">
              <w:rPr>
                <w:rFonts w:ascii="Tahoma" w:hAnsi="Tahoma" w:cs="Tahoma"/>
                <w:sz w:val="16"/>
                <w:szCs w:val="20"/>
              </w:rPr>
              <w:t>39,68</w:t>
            </w:r>
          </w:p>
        </w:tc>
        <w:tc>
          <w:tcPr>
            <w:tcW w:w="1360" w:type="dxa"/>
            <w:tcBorders>
              <w:top w:val="nil"/>
              <w:left w:val="nil"/>
              <w:bottom w:val="single" w:sz="4" w:space="0" w:color="auto"/>
              <w:right w:val="single" w:sz="4" w:space="0" w:color="auto"/>
            </w:tcBorders>
            <w:shd w:val="clear" w:color="auto" w:fill="auto"/>
            <w:noWrap/>
            <w:vAlign w:val="center"/>
            <w:hideMark/>
          </w:tcPr>
          <w:p w14:paraId="000C770F" w14:textId="77777777" w:rsidR="009D3B5A" w:rsidRPr="00D23046" w:rsidRDefault="009D3B5A" w:rsidP="009D3B5A">
            <w:pPr>
              <w:jc w:val="right"/>
              <w:rPr>
                <w:rFonts w:ascii="Tahoma" w:hAnsi="Tahoma" w:cs="Tahoma"/>
                <w:sz w:val="16"/>
                <w:szCs w:val="20"/>
              </w:rPr>
            </w:pPr>
            <w:r w:rsidRPr="00D23046">
              <w:rPr>
                <w:rFonts w:ascii="Tahoma" w:hAnsi="Tahoma" w:cs="Tahoma"/>
                <w:sz w:val="16"/>
                <w:szCs w:val="20"/>
              </w:rPr>
              <w:t>41,19</w:t>
            </w:r>
          </w:p>
        </w:tc>
        <w:tc>
          <w:tcPr>
            <w:tcW w:w="1360" w:type="dxa"/>
            <w:tcBorders>
              <w:top w:val="nil"/>
              <w:left w:val="nil"/>
              <w:bottom w:val="single" w:sz="4" w:space="0" w:color="auto"/>
              <w:right w:val="single" w:sz="4" w:space="0" w:color="auto"/>
            </w:tcBorders>
            <w:shd w:val="clear" w:color="auto" w:fill="auto"/>
            <w:noWrap/>
            <w:vAlign w:val="center"/>
            <w:hideMark/>
          </w:tcPr>
          <w:p w14:paraId="794037BD" w14:textId="77777777" w:rsidR="009D3B5A" w:rsidRPr="00D23046" w:rsidRDefault="009D3B5A" w:rsidP="009D3B5A">
            <w:pPr>
              <w:jc w:val="right"/>
              <w:rPr>
                <w:rFonts w:ascii="Tahoma" w:hAnsi="Tahoma" w:cs="Tahoma"/>
                <w:sz w:val="16"/>
                <w:szCs w:val="20"/>
              </w:rPr>
            </w:pPr>
            <w:r w:rsidRPr="00D23046">
              <w:rPr>
                <w:rFonts w:ascii="Tahoma" w:hAnsi="Tahoma" w:cs="Tahoma"/>
                <w:sz w:val="16"/>
                <w:szCs w:val="20"/>
              </w:rPr>
              <w:t>35,33</w:t>
            </w:r>
          </w:p>
        </w:tc>
        <w:tc>
          <w:tcPr>
            <w:tcW w:w="1360" w:type="dxa"/>
            <w:tcBorders>
              <w:top w:val="nil"/>
              <w:left w:val="nil"/>
              <w:bottom w:val="single" w:sz="4" w:space="0" w:color="auto"/>
              <w:right w:val="single" w:sz="4" w:space="0" w:color="auto"/>
            </w:tcBorders>
            <w:shd w:val="clear" w:color="auto" w:fill="auto"/>
            <w:noWrap/>
            <w:vAlign w:val="center"/>
            <w:hideMark/>
          </w:tcPr>
          <w:p w14:paraId="2FA73DD5" w14:textId="77777777" w:rsidR="009D3B5A" w:rsidRPr="00D23046" w:rsidRDefault="009D3B5A" w:rsidP="009D3B5A">
            <w:pPr>
              <w:jc w:val="right"/>
              <w:rPr>
                <w:rFonts w:ascii="Tahoma" w:hAnsi="Tahoma" w:cs="Tahoma"/>
                <w:sz w:val="16"/>
                <w:szCs w:val="20"/>
              </w:rPr>
            </w:pPr>
            <w:r w:rsidRPr="00D23046">
              <w:rPr>
                <w:rFonts w:ascii="Tahoma" w:hAnsi="Tahoma" w:cs="Tahoma"/>
                <w:sz w:val="16"/>
                <w:szCs w:val="20"/>
              </w:rPr>
              <w:t>37,12</w:t>
            </w:r>
          </w:p>
        </w:tc>
      </w:tr>
    </w:tbl>
    <w:p w14:paraId="6998CFBA" w14:textId="46E86813" w:rsidR="009D3B5A" w:rsidRPr="009D3B5A" w:rsidRDefault="009D3B5A" w:rsidP="009D3B5A">
      <w:pPr>
        <w:spacing w:after="120" w:line="240" w:lineRule="auto"/>
        <w:jc w:val="both"/>
        <w:rPr>
          <w:rFonts w:ascii="Tahoma" w:hAnsi="Tahoma" w:cs="Tahoma"/>
          <w:sz w:val="20"/>
          <w:szCs w:val="20"/>
          <w:lang w:val="el-GR"/>
        </w:rPr>
      </w:pPr>
      <w:r w:rsidRPr="009D3B5A">
        <w:rPr>
          <w:rFonts w:ascii="Tahoma" w:hAnsi="Tahoma" w:cs="Tahoma"/>
          <w:sz w:val="20"/>
          <w:szCs w:val="20"/>
          <w:lang w:val="el-GR"/>
        </w:rPr>
        <w:t>Ποσά σε ευρώ (στα ίδια κεφάλαια της χρήσης 2013 έγιναν οι προσαρμογές για την πρώτη εφαρμογή ΔΠΧΑ)</w:t>
      </w:r>
    </w:p>
    <w:p w14:paraId="26660BFE" w14:textId="77777777" w:rsidR="009D3B5A" w:rsidRPr="009D3B5A" w:rsidRDefault="009D3B5A" w:rsidP="009D3B5A">
      <w:pPr>
        <w:spacing w:after="120" w:line="240" w:lineRule="auto"/>
        <w:jc w:val="both"/>
        <w:rPr>
          <w:rFonts w:ascii="Tahoma" w:hAnsi="Tahoma" w:cs="Tahoma"/>
          <w:sz w:val="20"/>
          <w:szCs w:val="20"/>
          <w:lang w:val="el-GR"/>
        </w:rPr>
      </w:pPr>
    </w:p>
    <w:p w14:paraId="33E6E358" w14:textId="77777777" w:rsidR="009D3B5A" w:rsidRPr="009D3B5A" w:rsidRDefault="009D3B5A" w:rsidP="009D3B5A">
      <w:pPr>
        <w:spacing w:after="120" w:line="240" w:lineRule="auto"/>
        <w:jc w:val="both"/>
        <w:rPr>
          <w:rFonts w:ascii="Tahoma" w:hAnsi="Tahoma" w:cs="Tahoma"/>
          <w:sz w:val="20"/>
          <w:szCs w:val="20"/>
          <w:lang w:val="el-GR"/>
        </w:rPr>
      </w:pPr>
      <w:r w:rsidRPr="009D3B5A">
        <w:rPr>
          <w:rFonts w:ascii="Tahoma" w:hAnsi="Tahoma" w:cs="Tahoma"/>
          <w:sz w:val="20"/>
          <w:szCs w:val="20"/>
          <w:lang w:val="el-GR"/>
        </w:rPr>
        <w:t xml:space="preserve">Με βάση τα θετικά αποτελέσματα της τράπεζας η λογιστική αξία της μερίδας ανήλθε στα 37,12 ευρώ, αυξημένη σε σχέση με την προηγούμενη χρήση. </w:t>
      </w:r>
    </w:p>
    <w:tbl>
      <w:tblPr>
        <w:tblW w:w="8520" w:type="dxa"/>
        <w:tblLook w:val="04A0" w:firstRow="1" w:lastRow="0" w:firstColumn="1" w:lastColumn="0" w:noHBand="0" w:noVBand="1"/>
      </w:tblPr>
      <w:tblGrid>
        <w:gridCol w:w="3039"/>
        <w:gridCol w:w="1148"/>
        <w:gridCol w:w="1148"/>
        <w:gridCol w:w="1148"/>
        <w:gridCol w:w="1148"/>
        <w:gridCol w:w="889"/>
      </w:tblGrid>
      <w:tr w:rsidR="009D3B5A" w:rsidRPr="00D23046" w14:paraId="7D9A3CB4" w14:textId="77777777" w:rsidTr="009D3B5A">
        <w:trPr>
          <w:trHeight w:val="340"/>
        </w:trPr>
        <w:tc>
          <w:tcPr>
            <w:tcW w:w="3039" w:type="dxa"/>
            <w:tcBorders>
              <w:top w:val="nil"/>
              <w:left w:val="nil"/>
              <w:bottom w:val="nil"/>
              <w:right w:val="nil"/>
            </w:tcBorders>
            <w:shd w:val="clear" w:color="auto" w:fill="auto"/>
            <w:noWrap/>
            <w:vAlign w:val="center"/>
            <w:hideMark/>
          </w:tcPr>
          <w:p w14:paraId="3BAC792A" w14:textId="77777777" w:rsidR="009D3B5A" w:rsidRPr="00D23046" w:rsidRDefault="009D3B5A" w:rsidP="009D3B5A">
            <w:pPr>
              <w:rPr>
                <w:rFonts w:ascii="Tahoma" w:hAnsi="Tahoma" w:cs="Tahoma"/>
                <w:b/>
                <w:bCs/>
                <w:sz w:val="20"/>
                <w:szCs w:val="20"/>
              </w:rPr>
            </w:pPr>
            <w:r w:rsidRPr="00D23046">
              <w:rPr>
                <w:rFonts w:ascii="Tahoma" w:hAnsi="Tahoma" w:cs="Tahoma"/>
                <w:b/>
                <w:bCs/>
                <w:sz w:val="20"/>
                <w:szCs w:val="20"/>
              </w:rPr>
              <w:t>ΣΤΟΙΧΕΙΑ ΜΕΡΙΔΑΣ</w:t>
            </w:r>
          </w:p>
        </w:tc>
        <w:tc>
          <w:tcPr>
            <w:tcW w:w="1148" w:type="dxa"/>
            <w:tcBorders>
              <w:top w:val="nil"/>
              <w:left w:val="nil"/>
              <w:bottom w:val="nil"/>
              <w:right w:val="nil"/>
            </w:tcBorders>
            <w:shd w:val="clear" w:color="auto" w:fill="auto"/>
            <w:noWrap/>
            <w:vAlign w:val="center"/>
            <w:hideMark/>
          </w:tcPr>
          <w:p w14:paraId="62B1240F" w14:textId="77777777" w:rsidR="009D3B5A" w:rsidRPr="00D23046" w:rsidRDefault="009D3B5A" w:rsidP="009D3B5A">
            <w:pPr>
              <w:rPr>
                <w:rFonts w:ascii="Tahoma" w:hAnsi="Tahoma" w:cs="Tahoma"/>
                <w:b/>
                <w:bCs/>
                <w:sz w:val="20"/>
                <w:szCs w:val="20"/>
                <w:u w:val="single"/>
              </w:rPr>
            </w:pPr>
          </w:p>
        </w:tc>
        <w:tc>
          <w:tcPr>
            <w:tcW w:w="1148" w:type="dxa"/>
            <w:tcBorders>
              <w:top w:val="nil"/>
              <w:left w:val="nil"/>
              <w:bottom w:val="nil"/>
              <w:right w:val="nil"/>
            </w:tcBorders>
            <w:shd w:val="clear" w:color="auto" w:fill="auto"/>
            <w:noWrap/>
            <w:vAlign w:val="center"/>
            <w:hideMark/>
          </w:tcPr>
          <w:p w14:paraId="40C1518E" w14:textId="77777777" w:rsidR="009D3B5A" w:rsidRPr="00D23046" w:rsidRDefault="009D3B5A" w:rsidP="009D3B5A">
            <w:pPr>
              <w:rPr>
                <w:rFonts w:ascii="Tahoma" w:hAnsi="Tahoma" w:cs="Tahoma"/>
                <w:sz w:val="20"/>
                <w:szCs w:val="20"/>
              </w:rPr>
            </w:pPr>
          </w:p>
        </w:tc>
        <w:tc>
          <w:tcPr>
            <w:tcW w:w="1148" w:type="dxa"/>
            <w:tcBorders>
              <w:top w:val="nil"/>
              <w:left w:val="nil"/>
              <w:bottom w:val="nil"/>
              <w:right w:val="nil"/>
            </w:tcBorders>
            <w:shd w:val="clear" w:color="auto" w:fill="auto"/>
            <w:noWrap/>
            <w:vAlign w:val="center"/>
            <w:hideMark/>
          </w:tcPr>
          <w:p w14:paraId="536282F6" w14:textId="77777777" w:rsidR="009D3B5A" w:rsidRPr="00D23046" w:rsidRDefault="009D3B5A" w:rsidP="009D3B5A">
            <w:pPr>
              <w:rPr>
                <w:rFonts w:ascii="Tahoma" w:hAnsi="Tahoma" w:cs="Tahoma"/>
                <w:sz w:val="20"/>
                <w:szCs w:val="20"/>
              </w:rPr>
            </w:pPr>
          </w:p>
        </w:tc>
        <w:tc>
          <w:tcPr>
            <w:tcW w:w="1148" w:type="dxa"/>
            <w:tcBorders>
              <w:top w:val="nil"/>
              <w:left w:val="nil"/>
              <w:bottom w:val="nil"/>
              <w:right w:val="nil"/>
            </w:tcBorders>
            <w:shd w:val="clear" w:color="auto" w:fill="auto"/>
            <w:noWrap/>
            <w:vAlign w:val="center"/>
            <w:hideMark/>
          </w:tcPr>
          <w:p w14:paraId="0546F10F" w14:textId="77777777" w:rsidR="009D3B5A" w:rsidRPr="00D23046" w:rsidRDefault="009D3B5A" w:rsidP="009D3B5A">
            <w:pPr>
              <w:rPr>
                <w:rFonts w:ascii="Tahoma" w:hAnsi="Tahoma" w:cs="Tahoma"/>
                <w:sz w:val="20"/>
                <w:szCs w:val="20"/>
              </w:rPr>
            </w:pPr>
          </w:p>
        </w:tc>
        <w:tc>
          <w:tcPr>
            <w:tcW w:w="889" w:type="dxa"/>
            <w:tcBorders>
              <w:top w:val="nil"/>
              <w:left w:val="nil"/>
              <w:bottom w:val="nil"/>
              <w:right w:val="nil"/>
            </w:tcBorders>
            <w:shd w:val="clear" w:color="auto" w:fill="auto"/>
            <w:noWrap/>
            <w:vAlign w:val="center"/>
            <w:hideMark/>
          </w:tcPr>
          <w:p w14:paraId="0D9A9030" w14:textId="77777777" w:rsidR="009D3B5A" w:rsidRPr="00D23046" w:rsidRDefault="009D3B5A" w:rsidP="009D3B5A">
            <w:pPr>
              <w:rPr>
                <w:rFonts w:ascii="Tahoma" w:hAnsi="Tahoma" w:cs="Tahoma"/>
                <w:sz w:val="20"/>
                <w:szCs w:val="20"/>
              </w:rPr>
            </w:pPr>
          </w:p>
        </w:tc>
      </w:tr>
      <w:tr w:rsidR="009D3B5A" w:rsidRPr="00D23046" w14:paraId="3C15806B" w14:textId="77777777" w:rsidTr="009D3B5A">
        <w:trPr>
          <w:trHeight w:val="340"/>
        </w:trPr>
        <w:tc>
          <w:tcPr>
            <w:tcW w:w="3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7B93B" w14:textId="77777777" w:rsidR="009D3B5A" w:rsidRPr="00D23046" w:rsidRDefault="009D3B5A" w:rsidP="009D3B5A">
            <w:pPr>
              <w:rPr>
                <w:rFonts w:ascii="Tahoma" w:hAnsi="Tahoma" w:cs="Tahoma"/>
                <w:sz w:val="20"/>
                <w:szCs w:val="20"/>
              </w:rPr>
            </w:pPr>
            <w:r w:rsidRPr="00D23046">
              <w:rPr>
                <w:rFonts w:ascii="Tahoma" w:hAnsi="Tahoma" w:cs="Tahoma"/>
                <w:sz w:val="20"/>
                <w:szCs w:val="20"/>
              </w:rPr>
              <w:t> </w:t>
            </w:r>
          </w:p>
        </w:tc>
        <w:tc>
          <w:tcPr>
            <w:tcW w:w="1148" w:type="dxa"/>
            <w:tcBorders>
              <w:top w:val="single" w:sz="4" w:space="0" w:color="auto"/>
              <w:left w:val="nil"/>
              <w:bottom w:val="single" w:sz="4" w:space="0" w:color="auto"/>
              <w:right w:val="single" w:sz="4" w:space="0" w:color="auto"/>
            </w:tcBorders>
            <w:shd w:val="clear" w:color="auto" w:fill="auto"/>
            <w:noWrap/>
            <w:vAlign w:val="center"/>
            <w:hideMark/>
          </w:tcPr>
          <w:p w14:paraId="2629DF62" w14:textId="77777777" w:rsidR="009D3B5A" w:rsidRPr="00D23046" w:rsidRDefault="009D3B5A" w:rsidP="009D3B5A">
            <w:pPr>
              <w:jc w:val="center"/>
              <w:rPr>
                <w:rFonts w:ascii="Tahoma" w:hAnsi="Tahoma" w:cs="Tahoma"/>
                <w:sz w:val="20"/>
                <w:szCs w:val="20"/>
              </w:rPr>
            </w:pPr>
            <w:r w:rsidRPr="00D23046">
              <w:rPr>
                <w:rFonts w:ascii="Tahoma" w:hAnsi="Tahoma" w:cs="Tahoma"/>
                <w:sz w:val="20"/>
                <w:szCs w:val="20"/>
              </w:rPr>
              <w:t>2015</w:t>
            </w:r>
          </w:p>
        </w:tc>
        <w:tc>
          <w:tcPr>
            <w:tcW w:w="1148" w:type="dxa"/>
            <w:tcBorders>
              <w:top w:val="single" w:sz="4" w:space="0" w:color="auto"/>
              <w:left w:val="nil"/>
              <w:bottom w:val="single" w:sz="4" w:space="0" w:color="auto"/>
              <w:right w:val="single" w:sz="4" w:space="0" w:color="auto"/>
            </w:tcBorders>
            <w:shd w:val="clear" w:color="auto" w:fill="auto"/>
            <w:noWrap/>
            <w:vAlign w:val="center"/>
            <w:hideMark/>
          </w:tcPr>
          <w:p w14:paraId="2F6B6900" w14:textId="77777777" w:rsidR="009D3B5A" w:rsidRPr="00D23046" w:rsidRDefault="009D3B5A" w:rsidP="009D3B5A">
            <w:pPr>
              <w:jc w:val="center"/>
              <w:rPr>
                <w:rFonts w:ascii="Tahoma" w:hAnsi="Tahoma" w:cs="Tahoma"/>
                <w:sz w:val="20"/>
                <w:szCs w:val="20"/>
              </w:rPr>
            </w:pPr>
            <w:r w:rsidRPr="00D23046">
              <w:rPr>
                <w:rFonts w:ascii="Tahoma" w:hAnsi="Tahoma" w:cs="Tahoma"/>
                <w:sz w:val="20"/>
                <w:szCs w:val="20"/>
              </w:rPr>
              <w:t>2016</w:t>
            </w:r>
          </w:p>
        </w:tc>
        <w:tc>
          <w:tcPr>
            <w:tcW w:w="1148" w:type="dxa"/>
            <w:tcBorders>
              <w:top w:val="single" w:sz="4" w:space="0" w:color="auto"/>
              <w:left w:val="nil"/>
              <w:bottom w:val="single" w:sz="4" w:space="0" w:color="auto"/>
              <w:right w:val="single" w:sz="4" w:space="0" w:color="auto"/>
            </w:tcBorders>
            <w:shd w:val="clear" w:color="auto" w:fill="auto"/>
            <w:noWrap/>
            <w:vAlign w:val="center"/>
            <w:hideMark/>
          </w:tcPr>
          <w:p w14:paraId="46A7F9E5" w14:textId="77777777" w:rsidR="009D3B5A" w:rsidRPr="00D23046" w:rsidRDefault="009D3B5A" w:rsidP="009D3B5A">
            <w:pPr>
              <w:jc w:val="center"/>
              <w:rPr>
                <w:rFonts w:ascii="Tahoma" w:hAnsi="Tahoma" w:cs="Tahoma"/>
                <w:sz w:val="20"/>
                <w:szCs w:val="20"/>
              </w:rPr>
            </w:pPr>
            <w:r w:rsidRPr="00D23046">
              <w:rPr>
                <w:rFonts w:ascii="Tahoma" w:hAnsi="Tahoma" w:cs="Tahoma"/>
                <w:sz w:val="20"/>
                <w:szCs w:val="20"/>
              </w:rPr>
              <w:t>2017</w:t>
            </w:r>
          </w:p>
        </w:tc>
        <w:tc>
          <w:tcPr>
            <w:tcW w:w="1148" w:type="dxa"/>
            <w:tcBorders>
              <w:top w:val="single" w:sz="4" w:space="0" w:color="auto"/>
              <w:left w:val="nil"/>
              <w:bottom w:val="single" w:sz="4" w:space="0" w:color="auto"/>
              <w:right w:val="single" w:sz="4" w:space="0" w:color="auto"/>
            </w:tcBorders>
            <w:shd w:val="clear" w:color="auto" w:fill="auto"/>
            <w:noWrap/>
            <w:vAlign w:val="center"/>
            <w:hideMark/>
          </w:tcPr>
          <w:p w14:paraId="352A9850" w14:textId="77777777" w:rsidR="009D3B5A" w:rsidRPr="00D23046" w:rsidRDefault="009D3B5A" w:rsidP="009D3B5A">
            <w:pPr>
              <w:jc w:val="center"/>
              <w:rPr>
                <w:rFonts w:ascii="Tahoma" w:hAnsi="Tahoma" w:cs="Tahoma"/>
                <w:sz w:val="20"/>
                <w:szCs w:val="20"/>
              </w:rPr>
            </w:pPr>
            <w:r w:rsidRPr="00D23046">
              <w:rPr>
                <w:rFonts w:ascii="Tahoma" w:hAnsi="Tahoma" w:cs="Tahoma"/>
                <w:sz w:val="20"/>
                <w:szCs w:val="20"/>
              </w:rPr>
              <w:t>2018</w:t>
            </w:r>
          </w:p>
        </w:tc>
        <w:tc>
          <w:tcPr>
            <w:tcW w:w="889" w:type="dxa"/>
            <w:tcBorders>
              <w:top w:val="single" w:sz="4" w:space="0" w:color="auto"/>
              <w:left w:val="nil"/>
              <w:bottom w:val="single" w:sz="4" w:space="0" w:color="auto"/>
              <w:right w:val="single" w:sz="4" w:space="0" w:color="auto"/>
            </w:tcBorders>
            <w:shd w:val="clear" w:color="auto" w:fill="auto"/>
            <w:noWrap/>
            <w:vAlign w:val="center"/>
            <w:hideMark/>
          </w:tcPr>
          <w:p w14:paraId="3E2211E6" w14:textId="77777777" w:rsidR="009D3B5A" w:rsidRPr="00D23046" w:rsidRDefault="009D3B5A" w:rsidP="009D3B5A">
            <w:pPr>
              <w:jc w:val="center"/>
              <w:rPr>
                <w:rFonts w:ascii="Tahoma" w:hAnsi="Tahoma" w:cs="Tahoma"/>
                <w:sz w:val="20"/>
                <w:szCs w:val="20"/>
              </w:rPr>
            </w:pPr>
            <w:r w:rsidRPr="00D23046">
              <w:rPr>
                <w:rFonts w:ascii="Tahoma" w:hAnsi="Tahoma" w:cs="Tahoma"/>
                <w:sz w:val="20"/>
                <w:szCs w:val="20"/>
              </w:rPr>
              <w:t>2019</w:t>
            </w:r>
          </w:p>
        </w:tc>
      </w:tr>
      <w:tr w:rsidR="009D3B5A" w:rsidRPr="00D23046" w14:paraId="33DED390" w14:textId="77777777" w:rsidTr="009D3B5A">
        <w:trPr>
          <w:trHeight w:val="340"/>
        </w:trPr>
        <w:tc>
          <w:tcPr>
            <w:tcW w:w="3039" w:type="dxa"/>
            <w:tcBorders>
              <w:top w:val="nil"/>
              <w:left w:val="single" w:sz="4" w:space="0" w:color="auto"/>
              <w:bottom w:val="single" w:sz="4" w:space="0" w:color="auto"/>
              <w:right w:val="single" w:sz="4" w:space="0" w:color="auto"/>
            </w:tcBorders>
            <w:shd w:val="clear" w:color="auto" w:fill="auto"/>
            <w:noWrap/>
            <w:vAlign w:val="center"/>
            <w:hideMark/>
          </w:tcPr>
          <w:p w14:paraId="1FEC56E0" w14:textId="77777777" w:rsidR="009D3B5A" w:rsidRPr="00D23046" w:rsidRDefault="009D3B5A" w:rsidP="009D3B5A">
            <w:pPr>
              <w:rPr>
                <w:rFonts w:ascii="Tahoma" w:hAnsi="Tahoma" w:cs="Tahoma"/>
                <w:sz w:val="20"/>
                <w:szCs w:val="20"/>
              </w:rPr>
            </w:pPr>
            <w:proofErr w:type="spellStart"/>
            <w:r w:rsidRPr="00D23046">
              <w:rPr>
                <w:rFonts w:ascii="Tahoma" w:hAnsi="Tahoma" w:cs="Tahoma"/>
                <w:sz w:val="20"/>
                <w:szCs w:val="20"/>
              </w:rPr>
              <w:t>Ονομ</w:t>
            </w:r>
            <w:proofErr w:type="spellEnd"/>
            <w:r w:rsidRPr="00D23046">
              <w:rPr>
                <w:rFonts w:ascii="Tahoma" w:hAnsi="Tahoma" w:cs="Tahoma"/>
                <w:sz w:val="20"/>
                <w:szCs w:val="20"/>
              </w:rPr>
              <w:t xml:space="preserve">αστική </w:t>
            </w:r>
            <w:proofErr w:type="spellStart"/>
            <w:r w:rsidRPr="00D23046">
              <w:rPr>
                <w:rFonts w:ascii="Tahoma" w:hAnsi="Tahoma" w:cs="Tahoma"/>
                <w:sz w:val="20"/>
                <w:szCs w:val="20"/>
              </w:rPr>
              <w:t>τιμή</w:t>
            </w:r>
            <w:proofErr w:type="spellEnd"/>
          </w:p>
        </w:tc>
        <w:tc>
          <w:tcPr>
            <w:tcW w:w="1148" w:type="dxa"/>
            <w:tcBorders>
              <w:top w:val="nil"/>
              <w:left w:val="nil"/>
              <w:bottom w:val="single" w:sz="4" w:space="0" w:color="auto"/>
              <w:right w:val="single" w:sz="4" w:space="0" w:color="auto"/>
            </w:tcBorders>
            <w:shd w:val="clear" w:color="auto" w:fill="auto"/>
            <w:noWrap/>
            <w:vAlign w:val="center"/>
            <w:hideMark/>
          </w:tcPr>
          <w:p w14:paraId="48CD8639" w14:textId="77777777" w:rsidR="009D3B5A" w:rsidRPr="00D23046" w:rsidRDefault="009D3B5A" w:rsidP="009D3B5A">
            <w:pPr>
              <w:jc w:val="right"/>
              <w:rPr>
                <w:rFonts w:ascii="Tahoma" w:hAnsi="Tahoma" w:cs="Tahoma"/>
                <w:sz w:val="20"/>
                <w:szCs w:val="20"/>
              </w:rPr>
            </w:pPr>
            <w:r w:rsidRPr="00D23046">
              <w:rPr>
                <w:rFonts w:ascii="Tahoma" w:hAnsi="Tahoma" w:cs="Tahoma"/>
                <w:sz w:val="20"/>
                <w:szCs w:val="20"/>
              </w:rPr>
              <w:t>36,69</w:t>
            </w:r>
          </w:p>
        </w:tc>
        <w:tc>
          <w:tcPr>
            <w:tcW w:w="1148" w:type="dxa"/>
            <w:tcBorders>
              <w:top w:val="nil"/>
              <w:left w:val="nil"/>
              <w:bottom w:val="single" w:sz="4" w:space="0" w:color="auto"/>
              <w:right w:val="single" w:sz="4" w:space="0" w:color="auto"/>
            </w:tcBorders>
            <w:shd w:val="clear" w:color="auto" w:fill="auto"/>
            <w:noWrap/>
            <w:vAlign w:val="center"/>
            <w:hideMark/>
          </w:tcPr>
          <w:p w14:paraId="0FA3110D" w14:textId="77777777" w:rsidR="009D3B5A" w:rsidRPr="00D23046" w:rsidRDefault="009D3B5A" w:rsidP="009D3B5A">
            <w:pPr>
              <w:jc w:val="right"/>
              <w:rPr>
                <w:rFonts w:ascii="Tahoma" w:hAnsi="Tahoma" w:cs="Tahoma"/>
                <w:sz w:val="20"/>
                <w:szCs w:val="20"/>
              </w:rPr>
            </w:pPr>
            <w:r w:rsidRPr="00D23046">
              <w:rPr>
                <w:rFonts w:ascii="Tahoma" w:hAnsi="Tahoma" w:cs="Tahoma"/>
                <w:sz w:val="20"/>
                <w:szCs w:val="20"/>
              </w:rPr>
              <w:t>36,69</w:t>
            </w:r>
          </w:p>
        </w:tc>
        <w:tc>
          <w:tcPr>
            <w:tcW w:w="1148" w:type="dxa"/>
            <w:tcBorders>
              <w:top w:val="nil"/>
              <w:left w:val="nil"/>
              <w:bottom w:val="single" w:sz="4" w:space="0" w:color="auto"/>
              <w:right w:val="single" w:sz="4" w:space="0" w:color="auto"/>
            </w:tcBorders>
            <w:shd w:val="clear" w:color="auto" w:fill="auto"/>
            <w:noWrap/>
            <w:vAlign w:val="center"/>
            <w:hideMark/>
          </w:tcPr>
          <w:p w14:paraId="7DD1D91D" w14:textId="77777777" w:rsidR="009D3B5A" w:rsidRPr="00D23046" w:rsidRDefault="009D3B5A" w:rsidP="009D3B5A">
            <w:pPr>
              <w:jc w:val="right"/>
              <w:rPr>
                <w:rFonts w:ascii="Tahoma" w:hAnsi="Tahoma" w:cs="Tahoma"/>
                <w:sz w:val="20"/>
                <w:szCs w:val="20"/>
              </w:rPr>
            </w:pPr>
            <w:r w:rsidRPr="00D23046">
              <w:rPr>
                <w:rFonts w:ascii="Tahoma" w:hAnsi="Tahoma" w:cs="Tahoma"/>
                <w:sz w:val="20"/>
                <w:szCs w:val="20"/>
              </w:rPr>
              <w:t>36,69</w:t>
            </w:r>
          </w:p>
        </w:tc>
        <w:tc>
          <w:tcPr>
            <w:tcW w:w="1148" w:type="dxa"/>
            <w:tcBorders>
              <w:top w:val="nil"/>
              <w:left w:val="nil"/>
              <w:bottom w:val="single" w:sz="4" w:space="0" w:color="auto"/>
              <w:right w:val="single" w:sz="4" w:space="0" w:color="auto"/>
            </w:tcBorders>
            <w:shd w:val="clear" w:color="auto" w:fill="auto"/>
            <w:noWrap/>
            <w:vAlign w:val="center"/>
            <w:hideMark/>
          </w:tcPr>
          <w:p w14:paraId="768332FB" w14:textId="77777777" w:rsidR="009D3B5A" w:rsidRPr="00D23046" w:rsidRDefault="009D3B5A" w:rsidP="009D3B5A">
            <w:pPr>
              <w:jc w:val="right"/>
              <w:rPr>
                <w:rFonts w:ascii="Tahoma" w:hAnsi="Tahoma" w:cs="Tahoma"/>
                <w:sz w:val="20"/>
                <w:szCs w:val="20"/>
              </w:rPr>
            </w:pPr>
            <w:r w:rsidRPr="00D23046">
              <w:rPr>
                <w:rFonts w:ascii="Tahoma" w:hAnsi="Tahoma" w:cs="Tahoma"/>
                <w:sz w:val="20"/>
                <w:szCs w:val="20"/>
              </w:rPr>
              <w:t>36,69</w:t>
            </w:r>
          </w:p>
        </w:tc>
        <w:tc>
          <w:tcPr>
            <w:tcW w:w="889" w:type="dxa"/>
            <w:tcBorders>
              <w:top w:val="nil"/>
              <w:left w:val="nil"/>
              <w:bottom w:val="single" w:sz="4" w:space="0" w:color="auto"/>
              <w:right w:val="single" w:sz="4" w:space="0" w:color="auto"/>
            </w:tcBorders>
            <w:shd w:val="clear" w:color="auto" w:fill="auto"/>
            <w:noWrap/>
            <w:vAlign w:val="center"/>
            <w:hideMark/>
          </w:tcPr>
          <w:p w14:paraId="2247B45B" w14:textId="77777777" w:rsidR="009D3B5A" w:rsidRPr="00D23046" w:rsidRDefault="009D3B5A" w:rsidP="009D3B5A">
            <w:pPr>
              <w:jc w:val="right"/>
              <w:rPr>
                <w:rFonts w:ascii="Tahoma" w:hAnsi="Tahoma" w:cs="Tahoma"/>
                <w:sz w:val="20"/>
                <w:szCs w:val="20"/>
              </w:rPr>
            </w:pPr>
            <w:r w:rsidRPr="00D23046">
              <w:rPr>
                <w:rFonts w:ascii="Tahoma" w:hAnsi="Tahoma" w:cs="Tahoma"/>
                <w:sz w:val="20"/>
                <w:szCs w:val="20"/>
              </w:rPr>
              <w:t>25,00</w:t>
            </w:r>
          </w:p>
        </w:tc>
      </w:tr>
      <w:tr w:rsidR="009D3B5A" w:rsidRPr="00D23046" w14:paraId="7AB95E08" w14:textId="77777777" w:rsidTr="009D3B5A">
        <w:trPr>
          <w:trHeight w:val="340"/>
        </w:trPr>
        <w:tc>
          <w:tcPr>
            <w:tcW w:w="3039" w:type="dxa"/>
            <w:tcBorders>
              <w:top w:val="nil"/>
              <w:left w:val="single" w:sz="4" w:space="0" w:color="auto"/>
              <w:bottom w:val="single" w:sz="4" w:space="0" w:color="auto"/>
              <w:right w:val="single" w:sz="4" w:space="0" w:color="auto"/>
            </w:tcBorders>
            <w:shd w:val="clear" w:color="auto" w:fill="auto"/>
            <w:noWrap/>
            <w:vAlign w:val="center"/>
            <w:hideMark/>
          </w:tcPr>
          <w:p w14:paraId="06670040" w14:textId="77777777" w:rsidR="009D3B5A" w:rsidRPr="00D23046" w:rsidRDefault="009D3B5A" w:rsidP="009D3B5A">
            <w:pPr>
              <w:rPr>
                <w:rFonts w:ascii="Tahoma" w:hAnsi="Tahoma" w:cs="Tahoma"/>
                <w:sz w:val="20"/>
                <w:szCs w:val="20"/>
              </w:rPr>
            </w:pPr>
            <w:proofErr w:type="spellStart"/>
            <w:r w:rsidRPr="00D23046">
              <w:rPr>
                <w:rFonts w:ascii="Tahoma" w:hAnsi="Tahoma" w:cs="Tahoma"/>
                <w:sz w:val="20"/>
                <w:szCs w:val="20"/>
              </w:rPr>
              <w:t>Τιμή</w:t>
            </w:r>
            <w:proofErr w:type="spellEnd"/>
            <w:r w:rsidRPr="00D23046">
              <w:rPr>
                <w:rFonts w:ascii="Tahoma" w:hAnsi="Tahoma" w:cs="Tahoma"/>
                <w:sz w:val="20"/>
                <w:szCs w:val="20"/>
              </w:rPr>
              <w:t xml:space="preserve"> α</w:t>
            </w:r>
            <w:proofErr w:type="spellStart"/>
            <w:r w:rsidRPr="00D23046">
              <w:rPr>
                <w:rFonts w:ascii="Tahoma" w:hAnsi="Tahoma" w:cs="Tahoma"/>
                <w:sz w:val="20"/>
                <w:szCs w:val="20"/>
              </w:rPr>
              <w:t>γοράς</w:t>
            </w:r>
            <w:proofErr w:type="spellEnd"/>
            <w:r w:rsidRPr="00D23046">
              <w:rPr>
                <w:rFonts w:ascii="Tahoma" w:hAnsi="Tahoma" w:cs="Tahoma"/>
                <w:sz w:val="20"/>
                <w:szCs w:val="20"/>
              </w:rPr>
              <w:t xml:space="preserve"> </w:t>
            </w:r>
            <w:proofErr w:type="spellStart"/>
            <w:r w:rsidRPr="00D23046">
              <w:rPr>
                <w:rFonts w:ascii="Tahoma" w:hAnsi="Tahoma" w:cs="Tahoma"/>
                <w:sz w:val="20"/>
                <w:szCs w:val="20"/>
              </w:rPr>
              <w:t>μερίδ</w:t>
            </w:r>
            <w:proofErr w:type="spellEnd"/>
            <w:r w:rsidRPr="00D23046">
              <w:rPr>
                <w:rFonts w:ascii="Tahoma" w:hAnsi="Tahoma" w:cs="Tahoma"/>
                <w:sz w:val="20"/>
                <w:szCs w:val="20"/>
              </w:rPr>
              <w:t>ας</w:t>
            </w:r>
          </w:p>
        </w:tc>
        <w:tc>
          <w:tcPr>
            <w:tcW w:w="1148" w:type="dxa"/>
            <w:tcBorders>
              <w:top w:val="nil"/>
              <w:left w:val="nil"/>
              <w:bottom w:val="single" w:sz="4" w:space="0" w:color="auto"/>
              <w:right w:val="single" w:sz="4" w:space="0" w:color="auto"/>
            </w:tcBorders>
            <w:shd w:val="clear" w:color="auto" w:fill="auto"/>
            <w:noWrap/>
            <w:vAlign w:val="center"/>
            <w:hideMark/>
          </w:tcPr>
          <w:p w14:paraId="38814EEC" w14:textId="77777777" w:rsidR="009D3B5A" w:rsidRPr="00D23046" w:rsidRDefault="009D3B5A" w:rsidP="009D3B5A">
            <w:pPr>
              <w:jc w:val="right"/>
              <w:rPr>
                <w:rFonts w:ascii="Tahoma" w:hAnsi="Tahoma" w:cs="Tahoma"/>
                <w:sz w:val="20"/>
                <w:szCs w:val="20"/>
              </w:rPr>
            </w:pPr>
            <w:r w:rsidRPr="00D23046">
              <w:rPr>
                <w:rFonts w:ascii="Tahoma" w:hAnsi="Tahoma" w:cs="Tahoma"/>
                <w:sz w:val="20"/>
                <w:szCs w:val="20"/>
              </w:rPr>
              <w:t>38,13</w:t>
            </w:r>
          </w:p>
        </w:tc>
        <w:tc>
          <w:tcPr>
            <w:tcW w:w="1148" w:type="dxa"/>
            <w:tcBorders>
              <w:top w:val="nil"/>
              <w:left w:val="nil"/>
              <w:bottom w:val="single" w:sz="4" w:space="0" w:color="auto"/>
              <w:right w:val="single" w:sz="4" w:space="0" w:color="auto"/>
            </w:tcBorders>
            <w:shd w:val="clear" w:color="auto" w:fill="auto"/>
            <w:noWrap/>
            <w:vAlign w:val="center"/>
            <w:hideMark/>
          </w:tcPr>
          <w:p w14:paraId="53BD8C00" w14:textId="77777777" w:rsidR="009D3B5A" w:rsidRPr="00D23046" w:rsidRDefault="009D3B5A" w:rsidP="009D3B5A">
            <w:pPr>
              <w:jc w:val="right"/>
              <w:rPr>
                <w:rFonts w:ascii="Tahoma" w:hAnsi="Tahoma" w:cs="Tahoma"/>
                <w:sz w:val="20"/>
                <w:szCs w:val="20"/>
              </w:rPr>
            </w:pPr>
            <w:r w:rsidRPr="00D23046">
              <w:rPr>
                <w:rFonts w:ascii="Tahoma" w:hAnsi="Tahoma" w:cs="Tahoma"/>
                <w:sz w:val="20"/>
                <w:szCs w:val="20"/>
              </w:rPr>
              <w:t>39,68</w:t>
            </w:r>
          </w:p>
        </w:tc>
        <w:tc>
          <w:tcPr>
            <w:tcW w:w="1148" w:type="dxa"/>
            <w:tcBorders>
              <w:top w:val="nil"/>
              <w:left w:val="nil"/>
              <w:bottom w:val="single" w:sz="4" w:space="0" w:color="auto"/>
              <w:right w:val="single" w:sz="4" w:space="0" w:color="auto"/>
            </w:tcBorders>
            <w:shd w:val="clear" w:color="auto" w:fill="auto"/>
            <w:noWrap/>
            <w:vAlign w:val="center"/>
            <w:hideMark/>
          </w:tcPr>
          <w:p w14:paraId="29B0B4CB" w14:textId="77777777" w:rsidR="009D3B5A" w:rsidRPr="00D23046" w:rsidRDefault="009D3B5A" w:rsidP="009D3B5A">
            <w:pPr>
              <w:jc w:val="right"/>
              <w:rPr>
                <w:rFonts w:ascii="Tahoma" w:hAnsi="Tahoma" w:cs="Tahoma"/>
                <w:sz w:val="20"/>
                <w:szCs w:val="20"/>
              </w:rPr>
            </w:pPr>
            <w:r w:rsidRPr="00D23046">
              <w:rPr>
                <w:rFonts w:ascii="Tahoma" w:hAnsi="Tahoma" w:cs="Tahoma"/>
                <w:sz w:val="20"/>
                <w:szCs w:val="20"/>
              </w:rPr>
              <w:t>41,19</w:t>
            </w:r>
          </w:p>
        </w:tc>
        <w:tc>
          <w:tcPr>
            <w:tcW w:w="1148" w:type="dxa"/>
            <w:tcBorders>
              <w:top w:val="nil"/>
              <w:left w:val="nil"/>
              <w:bottom w:val="single" w:sz="4" w:space="0" w:color="auto"/>
              <w:right w:val="single" w:sz="4" w:space="0" w:color="auto"/>
            </w:tcBorders>
            <w:shd w:val="clear" w:color="auto" w:fill="auto"/>
            <w:noWrap/>
            <w:vAlign w:val="center"/>
            <w:hideMark/>
          </w:tcPr>
          <w:p w14:paraId="7B148C96" w14:textId="77777777" w:rsidR="009D3B5A" w:rsidRPr="00D23046" w:rsidRDefault="009D3B5A" w:rsidP="009D3B5A">
            <w:pPr>
              <w:jc w:val="right"/>
              <w:rPr>
                <w:rFonts w:ascii="Tahoma" w:hAnsi="Tahoma" w:cs="Tahoma"/>
                <w:sz w:val="20"/>
                <w:szCs w:val="20"/>
              </w:rPr>
            </w:pPr>
            <w:r w:rsidRPr="00D23046">
              <w:rPr>
                <w:rFonts w:ascii="Tahoma" w:hAnsi="Tahoma" w:cs="Tahoma"/>
                <w:sz w:val="20"/>
                <w:szCs w:val="20"/>
              </w:rPr>
              <w:t>35,33</w:t>
            </w:r>
          </w:p>
        </w:tc>
        <w:tc>
          <w:tcPr>
            <w:tcW w:w="889" w:type="dxa"/>
            <w:tcBorders>
              <w:top w:val="nil"/>
              <w:left w:val="nil"/>
              <w:bottom w:val="single" w:sz="4" w:space="0" w:color="auto"/>
              <w:right w:val="single" w:sz="4" w:space="0" w:color="auto"/>
            </w:tcBorders>
            <w:shd w:val="clear" w:color="auto" w:fill="auto"/>
            <w:noWrap/>
            <w:vAlign w:val="center"/>
            <w:hideMark/>
          </w:tcPr>
          <w:p w14:paraId="5E624336" w14:textId="77777777" w:rsidR="009D3B5A" w:rsidRPr="00D23046" w:rsidRDefault="009D3B5A" w:rsidP="009D3B5A">
            <w:pPr>
              <w:jc w:val="right"/>
              <w:rPr>
                <w:rFonts w:ascii="Tahoma" w:hAnsi="Tahoma" w:cs="Tahoma"/>
                <w:sz w:val="20"/>
                <w:szCs w:val="20"/>
              </w:rPr>
            </w:pPr>
            <w:r w:rsidRPr="00D23046">
              <w:rPr>
                <w:rFonts w:ascii="Tahoma" w:hAnsi="Tahoma" w:cs="Tahoma"/>
                <w:sz w:val="20"/>
                <w:szCs w:val="20"/>
              </w:rPr>
              <w:t>37,12</w:t>
            </w:r>
          </w:p>
        </w:tc>
      </w:tr>
    </w:tbl>
    <w:p w14:paraId="34595CEE" w14:textId="77777777" w:rsidR="009D3B5A" w:rsidRDefault="009D3B5A" w:rsidP="009D3B5A">
      <w:pPr>
        <w:spacing w:after="120" w:line="240" w:lineRule="auto"/>
        <w:jc w:val="both"/>
        <w:rPr>
          <w:rFonts w:ascii="Tahoma" w:hAnsi="Tahoma" w:cs="Tahoma"/>
          <w:color w:val="FF0000"/>
          <w:sz w:val="20"/>
          <w:szCs w:val="20"/>
        </w:rPr>
      </w:pPr>
    </w:p>
    <w:p w14:paraId="634EF265" w14:textId="77777777" w:rsidR="009D3B5A" w:rsidRDefault="009D3B5A" w:rsidP="009D3B5A">
      <w:pPr>
        <w:spacing w:after="120" w:line="240" w:lineRule="auto"/>
        <w:jc w:val="both"/>
        <w:rPr>
          <w:rFonts w:ascii="Tahoma" w:hAnsi="Tahoma" w:cs="Tahoma"/>
          <w:sz w:val="20"/>
          <w:szCs w:val="20"/>
          <w:lang w:val="el-GR"/>
        </w:rPr>
      </w:pPr>
      <w:r w:rsidRPr="009D3B5A">
        <w:rPr>
          <w:rFonts w:ascii="Tahoma" w:hAnsi="Tahoma" w:cs="Tahoma"/>
          <w:sz w:val="20"/>
          <w:szCs w:val="20"/>
          <w:lang w:val="el-GR"/>
        </w:rPr>
        <w:t xml:space="preserve">Λόγω της οικονομικής κρίσης και της ανάγκης διατήρησης των κεφαλαίων των Συνεταιριστικών Τραπεζών, η Τράπεζα της Ελλάδος βάσει του Νόμου 4099/2012 όρισε ότι επιτρέπεται η εξαγορά ετησίως μέχρι του 2% των ιδίων κεφαλαίων της τράπεζας. Επίσης, σύμφωνα με το καταστατικό και βάσει της λογιστικής αξίας της μερίδας, η τιμή της εξαγοράς της μερίδας ορίστηκε στα 35,33 ευρώ. Επειδή οι  αρνητικές επιδράσεις της κρίσης παραμένουν κυρίως στο μέτωπο των κόκκινων δανείων, το εποπτικό πλαίσιο παραμένει αυστηρό και λόγω εφαρμογής του ΔΠΧΑ 9 υπήρξε σημαντική μείωση της καθαρής θέσης, το Διοικητικό Συμβούλιο εισηγείται στη Γενική Συνέλευση να μη γίνει εξαγορά μερίδων στη τρέχουσα χρήση, ούτε διανομή μερίσματος. Αναμένεται ότι μόλις εξομαλυνθεί η κατάσταση στην Ελληνική οικονομία και το τραπεζικό σύστημα και αντιμετωπιστούν τα προβλήματα των καθυστερήσεων στις χορηγήσεις, αφενός η τιμή εξαγοράς της μερίδας θα επανέλθει στα υψηλά επίπεδα που ήταν τα προηγούμενα έτη, ενώ με την αναμενόμενη κερδοφορία θα υπάρξουν και πάλι υψηλές μερισματικές αποδόσεις στους συνεταίρους μας. </w:t>
      </w:r>
    </w:p>
    <w:p w14:paraId="582D597F" w14:textId="77777777" w:rsidR="00F11D4D" w:rsidRPr="004C0581" w:rsidRDefault="00F11D4D" w:rsidP="00F11D4D">
      <w:pPr>
        <w:spacing w:after="120"/>
        <w:jc w:val="both"/>
        <w:rPr>
          <w:rFonts w:ascii="Tahoma" w:hAnsi="Tahoma" w:cs="Tahoma"/>
          <w:b/>
          <w:sz w:val="20"/>
          <w:szCs w:val="20"/>
          <w:lang w:val="el-GR"/>
        </w:rPr>
      </w:pPr>
    </w:p>
    <w:p w14:paraId="5ECF4CB4" w14:textId="77777777" w:rsidR="00F11D4D" w:rsidRPr="004C0581" w:rsidRDefault="00F11D4D" w:rsidP="00F11D4D">
      <w:pPr>
        <w:spacing w:after="120"/>
        <w:jc w:val="both"/>
        <w:rPr>
          <w:rFonts w:ascii="Tahoma" w:hAnsi="Tahoma" w:cs="Tahoma"/>
          <w:b/>
          <w:sz w:val="20"/>
          <w:szCs w:val="20"/>
          <w:lang w:val="el-GR"/>
        </w:rPr>
      </w:pPr>
    </w:p>
    <w:p w14:paraId="51BE80FD" w14:textId="77777777" w:rsidR="00F11D4D" w:rsidRPr="004C0581" w:rsidRDefault="00F11D4D" w:rsidP="00F11D4D">
      <w:pPr>
        <w:spacing w:after="120"/>
        <w:jc w:val="both"/>
        <w:rPr>
          <w:rFonts w:ascii="Tahoma" w:hAnsi="Tahoma" w:cs="Tahoma"/>
          <w:b/>
          <w:sz w:val="20"/>
          <w:szCs w:val="20"/>
          <w:lang w:val="el-GR"/>
        </w:rPr>
      </w:pPr>
    </w:p>
    <w:p w14:paraId="14673D75" w14:textId="77777777" w:rsidR="00F11D4D" w:rsidRPr="004C0581" w:rsidRDefault="00F11D4D" w:rsidP="00F11D4D">
      <w:pPr>
        <w:spacing w:after="120"/>
        <w:jc w:val="both"/>
        <w:rPr>
          <w:rFonts w:ascii="Tahoma" w:hAnsi="Tahoma" w:cs="Tahoma"/>
          <w:b/>
          <w:sz w:val="20"/>
          <w:szCs w:val="20"/>
          <w:lang w:val="el-GR"/>
        </w:rPr>
      </w:pPr>
    </w:p>
    <w:p w14:paraId="7DAC68FA" w14:textId="77777777" w:rsidR="009D3B5A" w:rsidRPr="004C0581" w:rsidRDefault="009D3B5A" w:rsidP="00F11D4D">
      <w:pPr>
        <w:spacing w:after="120"/>
        <w:jc w:val="both"/>
        <w:rPr>
          <w:rFonts w:ascii="Tahoma" w:hAnsi="Tahoma" w:cs="Tahoma"/>
          <w:b/>
          <w:sz w:val="20"/>
          <w:szCs w:val="20"/>
          <w:lang w:val="el-GR"/>
        </w:rPr>
      </w:pPr>
      <w:r w:rsidRPr="004C0581">
        <w:rPr>
          <w:rFonts w:ascii="Tahoma" w:hAnsi="Tahoma" w:cs="Tahoma"/>
          <w:b/>
          <w:sz w:val="20"/>
          <w:szCs w:val="20"/>
          <w:lang w:val="el-GR"/>
        </w:rPr>
        <w:lastRenderedPageBreak/>
        <w:t>Ανθρώπινο Δυναμικό</w:t>
      </w:r>
    </w:p>
    <w:p w14:paraId="5A442984" w14:textId="77777777" w:rsidR="009D3B5A" w:rsidRPr="009D3B5A" w:rsidRDefault="009D3B5A" w:rsidP="009D3B5A">
      <w:pPr>
        <w:autoSpaceDE w:val="0"/>
        <w:autoSpaceDN w:val="0"/>
        <w:adjustRightInd w:val="0"/>
        <w:jc w:val="both"/>
        <w:rPr>
          <w:rFonts w:ascii="Tahoma" w:hAnsi="Tahoma" w:cs="Tahoma"/>
          <w:sz w:val="20"/>
          <w:szCs w:val="20"/>
          <w:lang w:val="el-GR" w:eastAsia="el-GR"/>
        </w:rPr>
      </w:pPr>
      <w:r w:rsidRPr="009D3B5A">
        <w:rPr>
          <w:rFonts w:ascii="Tahoma" w:hAnsi="Tahoma" w:cs="Tahoma"/>
          <w:sz w:val="20"/>
          <w:szCs w:val="20"/>
          <w:lang w:val="el-GR" w:eastAsia="el-GR"/>
        </w:rPr>
        <w:t xml:space="preserve">Στη Συνεταιριστική Τράπεζα Θεσσαλίας το ανθρώπινο δυναμικό αποτελεί ένα από τα σημαντικότερα κεφάλαιά της, καθώς παίζει κυρίαρχο ρόλο στην αναπτυξιακή πορεία. Για το λόγο αυτό επιλέγει τους ανθρώπους της απόλυτα αξιοκρατικά, μέσα από σαφείς και καθορισμένες διαδικασίες, παρέχοντάς τους τη δυνατότητα να εργάζονται σε ένα δυναμικό και εξελισσόμενο περιβάλλον, με προοπτική αναγνώρισης, επιβράβευσης και προόδου σε όλες τις βαθμίδες. </w:t>
      </w:r>
    </w:p>
    <w:p w14:paraId="03F99FF9" w14:textId="77777777" w:rsidR="009D3B5A" w:rsidRPr="009D3B5A" w:rsidRDefault="009D3B5A" w:rsidP="009D3B5A">
      <w:pPr>
        <w:autoSpaceDE w:val="0"/>
        <w:autoSpaceDN w:val="0"/>
        <w:adjustRightInd w:val="0"/>
        <w:jc w:val="both"/>
        <w:rPr>
          <w:rFonts w:ascii="Tahoma" w:hAnsi="Tahoma" w:cs="Tahoma"/>
          <w:sz w:val="20"/>
          <w:szCs w:val="20"/>
          <w:lang w:val="el-GR" w:eastAsia="el-GR"/>
        </w:rPr>
      </w:pPr>
      <w:r w:rsidRPr="009D3B5A">
        <w:rPr>
          <w:rFonts w:ascii="Tahoma" w:hAnsi="Tahoma" w:cs="Tahoma"/>
          <w:sz w:val="20"/>
          <w:szCs w:val="20"/>
          <w:lang w:val="el-GR" w:eastAsia="el-GR"/>
        </w:rPr>
        <w:t xml:space="preserve">Βασική στρατηγική της τράπεζας είναι η στελέχωση των καταστημάτων της με προσωπικό που ζει και δραστηριοποιείται κοινωνικά στην περιοχή όπου δημιουργείται το νέο κατάστημα, ώστε να υπάρχει άμεση επαφή με την τοπική κοινωνία, τις ανάγκες και τις δραστηριότητές της. </w:t>
      </w:r>
    </w:p>
    <w:p w14:paraId="1A7ABFF8" w14:textId="77777777" w:rsidR="009D3B5A" w:rsidRPr="009D3B5A" w:rsidRDefault="009D3B5A" w:rsidP="009D3B5A">
      <w:pPr>
        <w:autoSpaceDE w:val="0"/>
        <w:autoSpaceDN w:val="0"/>
        <w:adjustRightInd w:val="0"/>
        <w:jc w:val="both"/>
        <w:rPr>
          <w:rFonts w:ascii="Tahoma" w:hAnsi="Tahoma" w:cs="Tahoma"/>
          <w:sz w:val="20"/>
          <w:szCs w:val="20"/>
          <w:lang w:val="el-GR" w:eastAsia="el-GR"/>
        </w:rPr>
      </w:pPr>
      <w:r w:rsidRPr="009D3B5A">
        <w:rPr>
          <w:rFonts w:ascii="Tahoma" w:hAnsi="Tahoma" w:cs="Tahoma"/>
          <w:sz w:val="20"/>
          <w:szCs w:val="20"/>
          <w:lang w:val="el-GR" w:eastAsia="el-GR"/>
        </w:rPr>
        <w:t xml:space="preserve">Επί πλέον αξιοποιεί με τον καλύτερο δυνατό τρόπο το ανθρώπινο δυναμικό της παρέχοντας νέες ευκαιρίες εξέλιξης. </w:t>
      </w:r>
    </w:p>
    <w:p w14:paraId="72233C85" w14:textId="77777777" w:rsidR="009D3B5A" w:rsidRPr="009D3B5A" w:rsidRDefault="009D3B5A" w:rsidP="009D3B5A">
      <w:pPr>
        <w:autoSpaceDE w:val="0"/>
        <w:autoSpaceDN w:val="0"/>
        <w:adjustRightInd w:val="0"/>
        <w:jc w:val="both"/>
        <w:rPr>
          <w:rFonts w:ascii="Tahoma" w:hAnsi="Tahoma" w:cs="Tahoma"/>
          <w:sz w:val="20"/>
          <w:szCs w:val="20"/>
          <w:lang w:val="el-GR" w:eastAsia="el-GR"/>
        </w:rPr>
      </w:pPr>
      <w:r w:rsidRPr="009D3B5A">
        <w:rPr>
          <w:rFonts w:ascii="Tahoma" w:hAnsi="Tahoma" w:cs="Tahoma"/>
          <w:sz w:val="20"/>
          <w:szCs w:val="20"/>
          <w:lang w:val="el-GR" w:eastAsia="el-GR"/>
        </w:rPr>
        <w:t xml:space="preserve">Το 2019 ο συνολικός αριθμός των απασχολούμενων στην τράπεζα ανήλθε σε 87 άτομα. Επίσης σε συνεργασία με τον ΟΑΕΔ, τα εκπαιδευτικά ιδρύματα της χώρας (ΑΕΙ και ΤΕΙ) και τα κατά τόπους κέντρα επαγγελματικής κατάρτισης έδωσε τη δυνατότητα σε 20 νέους σπουδαστές, να πραγματοποιήσουν πρακτική άσκηση στα καταστήματα και τη Διοίκηση της Τράπεζας. </w:t>
      </w:r>
    </w:p>
    <w:p w14:paraId="4CD5B9B2" w14:textId="77777777" w:rsidR="009D3B5A" w:rsidRPr="009D3B5A" w:rsidRDefault="009D3B5A" w:rsidP="009D3B5A">
      <w:pPr>
        <w:autoSpaceDE w:val="0"/>
        <w:autoSpaceDN w:val="0"/>
        <w:adjustRightInd w:val="0"/>
        <w:jc w:val="both"/>
        <w:rPr>
          <w:rFonts w:ascii="Tahoma" w:hAnsi="Tahoma" w:cs="Tahoma"/>
          <w:sz w:val="20"/>
          <w:szCs w:val="20"/>
          <w:lang w:val="el-GR" w:eastAsia="el-GR"/>
        </w:rPr>
      </w:pPr>
      <w:r w:rsidRPr="009D3B5A">
        <w:rPr>
          <w:rFonts w:ascii="Tahoma" w:hAnsi="Tahoma" w:cs="Tahoma"/>
          <w:sz w:val="20"/>
          <w:szCs w:val="20"/>
          <w:lang w:val="el-GR" w:eastAsia="el-GR"/>
        </w:rPr>
        <w:t xml:space="preserve">Η Διοίκηση της Τράπεζας το 2019 διαμόρφωσε για το σύνολο των εργαζομένων της ένα ολοκληρωμένο πρόγραμμα εκπαίδευσης, το οποίο </w:t>
      </w:r>
      <w:proofErr w:type="spellStart"/>
      <w:r w:rsidRPr="009D3B5A">
        <w:rPr>
          <w:rFonts w:ascii="Tahoma" w:hAnsi="Tahoma" w:cs="Tahoma"/>
          <w:sz w:val="20"/>
          <w:szCs w:val="20"/>
          <w:lang w:val="el-GR" w:eastAsia="el-GR"/>
        </w:rPr>
        <w:t>περιελάμβανε</w:t>
      </w:r>
      <w:proofErr w:type="spellEnd"/>
      <w:r w:rsidRPr="009D3B5A">
        <w:rPr>
          <w:rFonts w:ascii="Tahoma" w:hAnsi="Tahoma" w:cs="Tahoma"/>
          <w:sz w:val="20"/>
          <w:szCs w:val="20"/>
          <w:lang w:val="el-GR" w:eastAsia="el-GR"/>
        </w:rPr>
        <w:t xml:space="preserve"> πιστοποιήσεις και συνεργασίες με τους κάτωθι φορείς:</w:t>
      </w:r>
    </w:p>
    <w:p w14:paraId="3E41B369" w14:textId="77777777" w:rsidR="009D3B5A" w:rsidRPr="00D23046" w:rsidRDefault="009D3B5A" w:rsidP="009D3B5A">
      <w:pPr>
        <w:numPr>
          <w:ilvl w:val="0"/>
          <w:numId w:val="7"/>
        </w:numPr>
        <w:autoSpaceDE w:val="0"/>
        <w:autoSpaceDN w:val="0"/>
        <w:adjustRightInd w:val="0"/>
        <w:spacing w:after="0" w:line="240" w:lineRule="auto"/>
        <w:ind w:left="0" w:firstLine="426"/>
        <w:jc w:val="both"/>
        <w:rPr>
          <w:rFonts w:ascii="Tahoma" w:hAnsi="Tahoma" w:cs="Tahoma"/>
          <w:sz w:val="20"/>
          <w:szCs w:val="20"/>
        </w:rPr>
      </w:pPr>
      <w:proofErr w:type="spellStart"/>
      <w:r w:rsidRPr="00D23046">
        <w:rPr>
          <w:rFonts w:ascii="Tahoma" w:hAnsi="Tahoma" w:cs="Tahoma"/>
          <w:sz w:val="20"/>
          <w:szCs w:val="20"/>
        </w:rPr>
        <w:t>Την</w:t>
      </w:r>
      <w:proofErr w:type="spellEnd"/>
      <w:r w:rsidRPr="00D23046">
        <w:rPr>
          <w:rFonts w:ascii="Tahoma" w:hAnsi="Tahoma" w:cs="Tahoma"/>
          <w:sz w:val="20"/>
          <w:szCs w:val="20"/>
        </w:rPr>
        <w:t xml:space="preserve"> </w:t>
      </w:r>
      <w:proofErr w:type="spellStart"/>
      <w:r w:rsidRPr="00D23046">
        <w:rPr>
          <w:rFonts w:ascii="Tahoma" w:hAnsi="Tahoma" w:cs="Tahoma"/>
          <w:sz w:val="20"/>
          <w:szCs w:val="20"/>
        </w:rPr>
        <w:t>Τρά</w:t>
      </w:r>
      <w:proofErr w:type="spellEnd"/>
      <w:r w:rsidRPr="00D23046">
        <w:rPr>
          <w:rFonts w:ascii="Tahoma" w:hAnsi="Tahoma" w:cs="Tahoma"/>
          <w:sz w:val="20"/>
          <w:szCs w:val="20"/>
        </w:rPr>
        <w:t xml:space="preserve">πεζα </w:t>
      </w:r>
      <w:proofErr w:type="spellStart"/>
      <w:r w:rsidRPr="00D23046">
        <w:rPr>
          <w:rFonts w:ascii="Tahoma" w:hAnsi="Tahoma" w:cs="Tahoma"/>
          <w:sz w:val="20"/>
          <w:szCs w:val="20"/>
        </w:rPr>
        <w:t>της</w:t>
      </w:r>
      <w:proofErr w:type="spellEnd"/>
      <w:r w:rsidRPr="00D23046">
        <w:rPr>
          <w:rFonts w:ascii="Tahoma" w:hAnsi="Tahoma" w:cs="Tahoma"/>
          <w:sz w:val="20"/>
          <w:szCs w:val="20"/>
        </w:rPr>
        <w:t xml:space="preserve"> </w:t>
      </w:r>
      <w:proofErr w:type="spellStart"/>
      <w:r w:rsidRPr="00D23046">
        <w:rPr>
          <w:rFonts w:ascii="Tahoma" w:hAnsi="Tahoma" w:cs="Tahoma"/>
          <w:sz w:val="20"/>
          <w:szCs w:val="20"/>
        </w:rPr>
        <w:t>Ελλάδος</w:t>
      </w:r>
      <w:proofErr w:type="spellEnd"/>
    </w:p>
    <w:p w14:paraId="798CA380" w14:textId="77777777" w:rsidR="009D3B5A" w:rsidRPr="009D3B5A" w:rsidRDefault="009D3B5A" w:rsidP="009D3B5A">
      <w:pPr>
        <w:numPr>
          <w:ilvl w:val="0"/>
          <w:numId w:val="7"/>
        </w:numPr>
        <w:autoSpaceDE w:val="0"/>
        <w:autoSpaceDN w:val="0"/>
        <w:adjustRightInd w:val="0"/>
        <w:spacing w:after="0" w:line="240" w:lineRule="auto"/>
        <w:ind w:left="0" w:firstLine="426"/>
        <w:jc w:val="both"/>
        <w:rPr>
          <w:rFonts w:ascii="Tahoma" w:hAnsi="Tahoma" w:cs="Tahoma"/>
          <w:sz w:val="20"/>
          <w:szCs w:val="20"/>
          <w:lang w:val="el-GR"/>
        </w:rPr>
      </w:pPr>
      <w:r w:rsidRPr="009D3B5A">
        <w:rPr>
          <w:rFonts w:ascii="Tahoma" w:hAnsi="Tahoma" w:cs="Tahoma"/>
          <w:sz w:val="20"/>
          <w:szCs w:val="20"/>
          <w:lang w:val="el-GR"/>
        </w:rPr>
        <w:t>Το Σύνδεσμο Βιομηχανιών Θεσσαλίας &amp; Στερεάς Ελλάδος</w:t>
      </w:r>
    </w:p>
    <w:p w14:paraId="236955F8" w14:textId="77777777" w:rsidR="009D3B5A" w:rsidRPr="009D3B5A" w:rsidRDefault="009D3B5A" w:rsidP="009D3B5A">
      <w:pPr>
        <w:numPr>
          <w:ilvl w:val="0"/>
          <w:numId w:val="7"/>
        </w:numPr>
        <w:autoSpaceDE w:val="0"/>
        <w:autoSpaceDN w:val="0"/>
        <w:adjustRightInd w:val="0"/>
        <w:spacing w:after="0" w:line="240" w:lineRule="auto"/>
        <w:ind w:left="0" w:firstLine="426"/>
        <w:jc w:val="both"/>
        <w:rPr>
          <w:rFonts w:ascii="Tahoma" w:hAnsi="Tahoma" w:cs="Tahoma"/>
          <w:sz w:val="20"/>
          <w:szCs w:val="20"/>
          <w:lang w:val="el-GR"/>
        </w:rPr>
      </w:pPr>
      <w:r w:rsidRPr="009D3B5A">
        <w:rPr>
          <w:rFonts w:ascii="Tahoma" w:hAnsi="Tahoma" w:cs="Tahoma"/>
          <w:sz w:val="20"/>
          <w:szCs w:val="20"/>
          <w:lang w:val="el-GR"/>
        </w:rPr>
        <w:t>Το Σύνδεσμο Θεσσαλικών Επιχειρήσεων και Βιομηχανιών</w:t>
      </w:r>
    </w:p>
    <w:p w14:paraId="1B13D74C" w14:textId="77777777" w:rsidR="009D3B5A" w:rsidRPr="00D23046" w:rsidRDefault="009D3B5A" w:rsidP="009D3B5A">
      <w:pPr>
        <w:numPr>
          <w:ilvl w:val="0"/>
          <w:numId w:val="7"/>
        </w:numPr>
        <w:autoSpaceDE w:val="0"/>
        <w:autoSpaceDN w:val="0"/>
        <w:adjustRightInd w:val="0"/>
        <w:spacing w:after="0" w:line="240" w:lineRule="auto"/>
        <w:ind w:left="0" w:firstLine="426"/>
        <w:jc w:val="both"/>
        <w:rPr>
          <w:rFonts w:ascii="Tahoma" w:hAnsi="Tahoma" w:cs="Tahoma"/>
          <w:sz w:val="20"/>
          <w:szCs w:val="20"/>
        </w:rPr>
      </w:pPr>
      <w:proofErr w:type="spellStart"/>
      <w:r w:rsidRPr="00D23046">
        <w:rPr>
          <w:rFonts w:ascii="Tahoma" w:hAnsi="Tahoma" w:cs="Tahoma"/>
          <w:sz w:val="20"/>
          <w:szCs w:val="20"/>
        </w:rPr>
        <w:t>Ιδιωτικούς</w:t>
      </w:r>
      <w:proofErr w:type="spellEnd"/>
      <w:r w:rsidRPr="00D23046">
        <w:rPr>
          <w:rFonts w:ascii="Tahoma" w:hAnsi="Tahoma" w:cs="Tahoma"/>
          <w:sz w:val="20"/>
          <w:szCs w:val="20"/>
        </w:rPr>
        <w:t xml:space="preserve"> </w:t>
      </w:r>
      <w:proofErr w:type="spellStart"/>
      <w:r w:rsidRPr="00D23046">
        <w:rPr>
          <w:rFonts w:ascii="Tahoma" w:hAnsi="Tahoma" w:cs="Tahoma"/>
          <w:sz w:val="20"/>
          <w:szCs w:val="20"/>
        </w:rPr>
        <w:t>φορείς</w:t>
      </w:r>
      <w:proofErr w:type="spellEnd"/>
      <w:r w:rsidRPr="00D23046">
        <w:rPr>
          <w:rFonts w:ascii="Tahoma" w:hAnsi="Tahoma" w:cs="Tahoma"/>
          <w:sz w:val="20"/>
          <w:szCs w:val="20"/>
        </w:rPr>
        <w:t xml:space="preserve"> </w:t>
      </w:r>
      <w:proofErr w:type="spellStart"/>
      <w:r w:rsidRPr="00D23046">
        <w:rPr>
          <w:rFonts w:ascii="Tahoma" w:hAnsi="Tahoma" w:cs="Tahoma"/>
          <w:sz w:val="20"/>
          <w:szCs w:val="20"/>
        </w:rPr>
        <w:t>εκ</w:t>
      </w:r>
      <w:proofErr w:type="spellEnd"/>
      <w:r w:rsidRPr="00D23046">
        <w:rPr>
          <w:rFonts w:ascii="Tahoma" w:hAnsi="Tahoma" w:cs="Tahoma"/>
          <w:sz w:val="20"/>
          <w:szCs w:val="20"/>
        </w:rPr>
        <w:t>παίδευσης</w:t>
      </w:r>
    </w:p>
    <w:p w14:paraId="63374E08" w14:textId="77777777" w:rsidR="009D3B5A" w:rsidRPr="00D23046" w:rsidRDefault="009D3B5A" w:rsidP="009D3B5A">
      <w:pPr>
        <w:numPr>
          <w:ilvl w:val="0"/>
          <w:numId w:val="7"/>
        </w:numPr>
        <w:autoSpaceDE w:val="0"/>
        <w:autoSpaceDN w:val="0"/>
        <w:adjustRightInd w:val="0"/>
        <w:spacing w:after="0" w:line="240" w:lineRule="auto"/>
        <w:ind w:left="0" w:firstLine="426"/>
        <w:jc w:val="both"/>
        <w:rPr>
          <w:rFonts w:ascii="Tahoma" w:hAnsi="Tahoma" w:cs="Tahoma"/>
          <w:sz w:val="20"/>
          <w:szCs w:val="20"/>
        </w:rPr>
      </w:pPr>
      <w:proofErr w:type="spellStart"/>
      <w:r w:rsidRPr="00D23046">
        <w:rPr>
          <w:rFonts w:ascii="Tahoma" w:hAnsi="Tahoma" w:cs="Tahoma"/>
          <w:sz w:val="20"/>
          <w:szCs w:val="20"/>
        </w:rPr>
        <w:t>Εκ</w:t>
      </w:r>
      <w:proofErr w:type="spellEnd"/>
      <w:r w:rsidRPr="00D23046">
        <w:rPr>
          <w:rFonts w:ascii="Tahoma" w:hAnsi="Tahoma" w:cs="Tahoma"/>
          <w:sz w:val="20"/>
          <w:szCs w:val="20"/>
        </w:rPr>
        <w:t xml:space="preserve">παιδευτικά </w:t>
      </w:r>
      <w:proofErr w:type="spellStart"/>
      <w:r w:rsidRPr="00D23046">
        <w:rPr>
          <w:rFonts w:ascii="Tahoma" w:hAnsi="Tahoma" w:cs="Tahoma"/>
          <w:sz w:val="20"/>
          <w:szCs w:val="20"/>
        </w:rPr>
        <w:t>Ιδρύμ</w:t>
      </w:r>
      <w:proofErr w:type="spellEnd"/>
      <w:r w:rsidRPr="00D23046">
        <w:rPr>
          <w:rFonts w:ascii="Tahoma" w:hAnsi="Tahoma" w:cs="Tahoma"/>
          <w:sz w:val="20"/>
          <w:szCs w:val="20"/>
        </w:rPr>
        <w:t>ατα.</w:t>
      </w:r>
    </w:p>
    <w:p w14:paraId="5BB9776D" w14:textId="77777777" w:rsidR="009D3B5A" w:rsidRPr="00D23046" w:rsidRDefault="009D3B5A" w:rsidP="009D3B5A">
      <w:pPr>
        <w:autoSpaceDE w:val="0"/>
        <w:autoSpaceDN w:val="0"/>
        <w:adjustRightInd w:val="0"/>
        <w:spacing w:after="0" w:line="240" w:lineRule="auto"/>
        <w:ind w:left="426"/>
        <w:jc w:val="both"/>
        <w:rPr>
          <w:rFonts w:ascii="Tahoma" w:hAnsi="Tahoma" w:cs="Tahoma"/>
          <w:sz w:val="20"/>
          <w:szCs w:val="20"/>
        </w:rPr>
      </w:pPr>
    </w:p>
    <w:p w14:paraId="7527675D" w14:textId="77777777" w:rsidR="009D3B5A" w:rsidRPr="009D3B5A" w:rsidRDefault="009D3B5A" w:rsidP="009D3B5A">
      <w:pPr>
        <w:autoSpaceDE w:val="0"/>
        <w:autoSpaceDN w:val="0"/>
        <w:adjustRightInd w:val="0"/>
        <w:jc w:val="both"/>
        <w:rPr>
          <w:rFonts w:ascii="Tahoma" w:hAnsi="Tahoma" w:cs="Tahoma"/>
          <w:sz w:val="20"/>
          <w:szCs w:val="20"/>
          <w:lang w:val="el-GR"/>
        </w:rPr>
      </w:pPr>
      <w:r w:rsidRPr="009D3B5A">
        <w:rPr>
          <w:rFonts w:ascii="Tahoma" w:hAnsi="Tahoma" w:cs="Tahoma"/>
          <w:sz w:val="20"/>
          <w:szCs w:val="20"/>
          <w:lang w:val="el-GR"/>
        </w:rPr>
        <w:t>Ενδεικτικά, τα σεμινάρια που πραγματοποιηθήκαν είχαν την κάτωθι θεματολογία:</w:t>
      </w:r>
    </w:p>
    <w:tbl>
      <w:tblPr>
        <w:tblW w:w="9100" w:type="dxa"/>
        <w:tblInd w:w="103" w:type="dxa"/>
        <w:tblLook w:val="04A0" w:firstRow="1" w:lastRow="0" w:firstColumn="1" w:lastColumn="0" w:noHBand="0" w:noVBand="1"/>
      </w:tblPr>
      <w:tblGrid>
        <w:gridCol w:w="752"/>
        <w:gridCol w:w="8348"/>
      </w:tblGrid>
      <w:tr w:rsidR="009D3B5A" w:rsidRPr="004C0581" w14:paraId="5E33D758" w14:textId="77777777" w:rsidTr="009D3B5A">
        <w:trPr>
          <w:trHeight w:val="568"/>
        </w:trPr>
        <w:tc>
          <w:tcPr>
            <w:tcW w:w="460" w:type="dxa"/>
            <w:tcBorders>
              <w:top w:val="single" w:sz="4" w:space="0" w:color="auto"/>
              <w:left w:val="single" w:sz="4" w:space="0" w:color="auto"/>
              <w:bottom w:val="single" w:sz="4" w:space="0" w:color="auto"/>
              <w:right w:val="single" w:sz="4" w:space="0" w:color="auto"/>
            </w:tcBorders>
            <w:noWrap/>
            <w:vAlign w:val="center"/>
            <w:hideMark/>
          </w:tcPr>
          <w:p w14:paraId="03B541AA" w14:textId="77777777" w:rsidR="009D3B5A" w:rsidRPr="00D23046" w:rsidRDefault="009D3B5A" w:rsidP="009D3B5A">
            <w:pPr>
              <w:spacing w:after="0" w:line="240" w:lineRule="auto"/>
              <w:ind w:firstLine="426"/>
              <w:jc w:val="center"/>
              <w:rPr>
                <w:rFonts w:ascii="Tahoma" w:hAnsi="Tahoma" w:cs="Tahoma"/>
                <w:color w:val="000000"/>
                <w:sz w:val="20"/>
                <w:szCs w:val="20"/>
                <w:lang w:eastAsia="el-GR"/>
              </w:rPr>
            </w:pPr>
            <w:r w:rsidRPr="00D23046">
              <w:rPr>
                <w:rFonts w:ascii="Tahoma" w:hAnsi="Tahoma" w:cs="Tahoma"/>
                <w:color w:val="000000"/>
                <w:sz w:val="20"/>
                <w:szCs w:val="20"/>
                <w:lang w:eastAsia="el-GR"/>
              </w:rPr>
              <w:t>1</w:t>
            </w:r>
          </w:p>
        </w:tc>
        <w:tc>
          <w:tcPr>
            <w:tcW w:w="8640" w:type="dxa"/>
            <w:tcBorders>
              <w:top w:val="single" w:sz="4" w:space="0" w:color="auto"/>
              <w:left w:val="nil"/>
              <w:bottom w:val="single" w:sz="4" w:space="0" w:color="auto"/>
              <w:right w:val="single" w:sz="4" w:space="0" w:color="auto"/>
            </w:tcBorders>
            <w:vAlign w:val="center"/>
            <w:hideMark/>
          </w:tcPr>
          <w:p w14:paraId="5BA4D95E" w14:textId="77777777" w:rsidR="009D3B5A" w:rsidRPr="009D3B5A" w:rsidRDefault="009D3B5A" w:rsidP="009D3B5A">
            <w:pPr>
              <w:rPr>
                <w:rFonts w:ascii="Tahoma" w:hAnsi="Tahoma" w:cs="Tahoma"/>
                <w:color w:val="000000"/>
                <w:sz w:val="20"/>
                <w:szCs w:val="20"/>
                <w:lang w:val="el-GR"/>
              </w:rPr>
            </w:pPr>
            <w:r w:rsidRPr="009D3B5A">
              <w:rPr>
                <w:rFonts w:ascii="Tahoma" w:hAnsi="Tahoma" w:cs="Tahoma"/>
                <w:color w:val="000000"/>
                <w:sz w:val="20"/>
                <w:szCs w:val="20"/>
                <w:lang w:val="el-GR"/>
              </w:rPr>
              <w:t>Βασική εκπαίδευση νέων υπαλλήλων σε Τραπεζικά προϊόντα και υπηρεσίες</w:t>
            </w:r>
          </w:p>
        </w:tc>
      </w:tr>
      <w:tr w:rsidR="009D3B5A" w:rsidRPr="00D23046" w14:paraId="7FA57E37" w14:textId="77777777" w:rsidTr="009D3B5A">
        <w:trPr>
          <w:trHeight w:val="675"/>
        </w:trPr>
        <w:tc>
          <w:tcPr>
            <w:tcW w:w="460" w:type="dxa"/>
            <w:tcBorders>
              <w:top w:val="nil"/>
              <w:left w:val="single" w:sz="4" w:space="0" w:color="auto"/>
              <w:bottom w:val="single" w:sz="4" w:space="0" w:color="auto"/>
              <w:right w:val="single" w:sz="4" w:space="0" w:color="auto"/>
            </w:tcBorders>
            <w:noWrap/>
            <w:vAlign w:val="center"/>
            <w:hideMark/>
          </w:tcPr>
          <w:p w14:paraId="05D92FE7" w14:textId="77777777" w:rsidR="009D3B5A" w:rsidRPr="00D23046" w:rsidRDefault="009D3B5A" w:rsidP="009D3B5A">
            <w:pPr>
              <w:spacing w:after="0" w:line="240" w:lineRule="auto"/>
              <w:ind w:firstLine="426"/>
              <w:jc w:val="center"/>
              <w:rPr>
                <w:rFonts w:ascii="Tahoma" w:hAnsi="Tahoma" w:cs="Tahoma"/>
                <w:color w:val="000000"/>
                <w:sz w:val="20"/>
                <w:szCs w:val="20"/>
                <w:lang w:eastAsia="el-GR"/>
              </w:rPr>
            </w:pPr>
            <w:r w:rsidRPr="00D23046">
              <w:rPr>
                <w:rFonts w:ascii="Tahoma" w:hAnsi="Tahoma" w:cs="Tahoma"/>
                <w:color w:val="000000"/>
                <w:sz w:val="20"/>
                <w:szCs w:val="20"/>
                <w:lang w:eastAsia="el-GR"/>
              </w:rPr>
              <w:t>2</w:t>
            </w:r>
          </w:p>
        </w:tc>
        <w:tc>
          <w:tcPr>
            <w:tcW w:w="8640" w:type="dxa"/>
            <w:tcBorders>
              <w:top w:val="single" w:sz="4" w:space="0" w:color="auto"/>
              <w:left w:val="nil"/>
              <w:bottom w:val="single" w:sz="4" w:space="0" w:color="auto"/>
              <w:right w:val="single" w:sz="4" w:space="0" w:color="auto"/>
            </w:tcBorders>
            <w:vAlign w:val="center"/>
            <w:hideMark/>
          </w:tcPr>
          <w:p w14:paraId="780F57BA" w14:textId="77777777" w:rsidR="009D3B5A" w:rsidRPr="00D23046" w:rsidRDefault="009D3B5A" w:rsidP="009D3B5A">
            <w:pPr>
              <w:rPr>
                <w:rFonts w:ascii="Tahoma" w:hAnsi="Tahoma" w:cs="Tahoma"/>
                <w:sz w:val="20"/>
                <w:szCs w:val="20"/>
              </w:rPr>
            </w:pPr>
            <w:r w:rsidRPr="00D23046">
              <w:rPr>
                <w:rFonts w:ascii="Tahoma" w:hAnsi="Tahoma" w:cs="Tahoma"/>
                <w:sz w:val="20"/>
                <w:szCs w:val="20"/>
              </w:rPr>
              <w:t xml:space="preserve">Data Protection Officer   </w:t>
            </w:r>
          </w:p>
        </w:tc>
      </w:tr>
      <w:tr w:rsidR="009D3B5A" w:rsidRPr="00D23046" w14:paraId="1B85048F" w14:textId="77777777" w:rsidTr="009D3B5A">
        <w:trPr>
          <w:trHeight w:val="300"/>
        </w:trPr>
        <w:tc>
          <w:tcPr>
            <w:tcW w:w="460" w:type="dxa"/>
            <w:tcBorders>
              <w:top w:val="nil"/>
              <w:left w:val="single" w:sz="4" w:space="0" w:color="auto"/>
              <w:bottom w:val="single" w:sz="4" w:space="0" w:color="auto"/>
              <w:right w:val="single" w:sz="4" w:space="0" w:color="auto"/>
            </w:tcBorders>
            <w:noWrap/>
            <w:vAlign w:val="center"/>
            <w:hideMark/>
          </w:tcPr>
          <w:p w14:paraId="0AE809BB" w14:textId="77777777" w:rsidR="009D3B5A" w:rsidRPr="00D23046" w:rsidRDefault="009D3B5A" w:rsidP="009D3B5A">
            <w:pPr>
              <w:spacing w:after="0" w:line="240" w:lineRule="auto"/>
              <w:ind w:firstLine="426"/>
              <w:jc w:val="center"/>
              <w:rPr>
                <w:rFonts w:ascii="Tahoma" w:hAnsi="Tahoma" w:cs="Tahoma"/>
                <w:color w:val="000000"/>
                <w:sz w:val="20"/>
                <w:szCs w:val="20"/>
                <w:lang w:eastAsia="el-GR"/>
              </w:rPr>
            </w:pPr>
            <w:r w:rsidRPr="00D23046">
              <w:rPr>
                <w:rFonts w:ascii="Tahoma" w:hAnsi="Tahoma" w:cs="Tahoma"/>
                <w:color w:val="000000"/>
                <w:sz w:val="20"/>
                <w:szCs w:val="20"/>
                <w:lang w:eastAsia="el-GR"/>
              </w:rPr>
              <w:t>3</w:t>
            </w:r>
          </w:p>
        </w:tc>
        <w:tc>
          <w:tcPr>
            <w:tcW w:w="8640" w:type="dxa"/>
            <w:tcBorders>
              <w:top w:val="single" w:sz="4" w:space="0" w:color="auto"/>
              <w:left w:val="nil"/>
              <w:bottom w:val="single" w:sz="4" w:space="0" w:color="auto"/>
              <w:right w:val="single" w:sz="4" w:space="0" w:color="auto"/>
            </w:tcBorders>
            <w:vAlign w:val="center"/>
            <w:hideMark/>
          </w:tcPr>
          <w:p w14:paraId="02CA0741" w14:textId="77777777" w:rsidR="009D3B5A" w:rsidRPr="00D23046" w:rsidRDefault="009D3B5A" w:rsidP="009D3B5A">
            <w:pPr>
              <w:rPr>
                <w:rFonts w:ascii="Tahoma" w:hAnsi="Tahoma" w:cs="Tahoma"/>
                <w:color w:val="000000"/>
                <w:sz w:val="20"/>
                <w:szCs w:val="20"/>
              </w:rPr>
            </w:pPr>
            <w:r w:rsidRPr="00D23046">
              <w:rPr>
                <w:rFonts w:ascii="Tahoma" w:hAnsi="Tahoma" w:cs="Tahoma"/>
                <w:color w:val="000000"/>
                <w:sz w:val="20"/>
                <w:szCs w:val="20"/>
              </w:rPr>
              <w:t>Cisco Academy</w:t>
            </w:r>
          </w:p>
        </w:tc>
      </w:tr>
      <w:tr w:rsidR="009D3B5A" w:rsidRPr="004C0581" w14:paraId="17CEFF43" w14:textId="77777777" w:rsidTr="009D3B5A">
        <w:trPr>
          <w:trHeight w:val="300"/>
        </w:trPr>
        <w:tc>
          <w:tcPr>
            <w:tcW w:w="460" w:type="dxa"/>
            <w:tcBorders>
              <w:top w:val="nil"/>
              <w:left w:val="single" w:sz="4" w:space="0" w:color="auto"/>
              <w:bottom w:val="single" w:sz="4" w:space="0" w:color="auto"/>
              <w:right w:val="single" w:sz="4" w:space="0" w:color="auto"/>
            </w:tcBorders>
            <w:noWrap/>
            <w:vAlign w:val="center"/>
            <w:hideMark/>
          </w:tcPr>
          <w:p w14:paraId="590CA16A" w14:textId="77777777" w:rsidR="009D3B5A" w:rsidRPr="00D23046" w:rsidRDefault="009D3B5A" w:rsidP="009D3B5A">
            <w:pPr>
              <w:spacing w:after="0" w:line="240" w:lineRule="auto"/>
              <w:ind w:firstLine="426"/>
              <w:jc w:val="center"/>
              <w:rPr>
                <w:rFonts w:ascii="Tahoma" w:hAnsi="Tahoma" w:cs="Tahoma"/>
                <w:color w:val="000000"/>
                <w:sz w:val="20"/>
                <w:szCs w:val="20"/>
                <w:lang w:eastAsia="el-GR"/>
              </w:rPr>
            </w:pPr>
            <w:r w:rsidRPr="00D23046">
              <w:rPr>
                <w:rFonts w:ascii="Tahoma" w:hAnsi="Tahoma" w:cs="Tahoma"/>
                <w:color w:val="000000"/>
                <w:sz w:val="20"/>
                <w:szCs w:val="20"/>
                <w:lang w:eastAsia="el-GR"/>
              </w:rPr>
              <w:t>4</w:t>
            </w:r>
          </w:p>
        </w:tc>
        <w:tc>
          <w:tcPr>
            <w:tcW w:w="8640" w:type="dxa"/>
            <w:tcBorders>
              <w:top w:val="single" w:sz="4" w:space="0" w:color="auto"/>
              <w:left w:val="nil"/>
              <w:bottom w:val="single" w:sz="4" w:space="0" w:color="auto"/>
              <w:right w:val="single" w:sz="4" w:space="0" w:color="auto"/>
            </w:tcBorders>
            <w:vAlign w:val="center"/>
            <w:hideMark/>
          </w:tcPr>
          <w:p w14:paraId="54994A94" w14:textId="77777777" w:rsidR="009D3B5A" w:rsidRPr="009D3B5A" w:rsidRDefault="009D3B5A" w:rsidP="009D3B5A">
            <w:pPr>
              <w:rPr>
                <w:rFonts w:ascii="Tahoma" w:hAnsi="Tahoma" w:cs="Tahoma"/>
                <w:color w:val="000000"/>
                <w:sz w:val="20"/>
                <w:szCs w:val="20"/>
                <w:lang w:val="el-GR"/>
              </w:rPr>
            </w:pPr>
            <w:r w:rsidRPr="009D3B5A">
              <w:rPr>
                <w:rFonts w:ascii="Tahoma" w:hAnsi="Tahoma" w:cs="Tahoma"/>
                <w:color w:val="000000"/>
                <w:sz w:val="20"/>
                <w:szCs w:val="20"/>
                <w:lang w:val="el-GR"/>
              </w:rPr>
              <w:t>Ηλεκτρονική τιμολόγηση και ο σχεδιασμός για τα ηλεκτρονικά βιβλία (</w:t>
            </w:r>
            <w:r w:rsidRPr="00D23046">
              <w:rPr>
                <w:rFonts w:ascii="Tahoma" w:hAnsi="Tahoma" w:cs="Tahoma"/>
                <w:color w:val="000000"/>
                <w:sz w:val="20"/>
                <w:szCs w:val="20"/>
              </w:rPr>
              <w:t>My</w:t>
            </w:r>
            <w:r w:rsidRPr="009D3B5A">
              <w:rPr>
                <w:rFonts w:ascii="Tahoma" w:hAnsi="Tahoma" w:cs="Tahoma"/>
                <w:color w:val="000000"/>
                <w:sz w:val="20"/>
                <w:szCs w:val="20"/>
                <w:lang w:val="el-GR"/>
              </w:rPr>
              <w:t xml:space="preserve"> </w:t>
            </w:r>
            <w:r w:rsidRPr="00D23046">
              <w:rPr>
                <w:rFonts w:ascii="Tahoma" w:hAnsi="Tahoma" w:cs="Tahoma"/>
                <w:color w:val="000000"/>
                <w:sz w:val="20"/>
                <w:szCs w:val="20"/>
              </w:rPr>
              <w:t>Data</w:t>
            </w:r>
            <w:r w:rsidRPr="009D3B5A">
              <w:rPr>
                <w:rFonts w:ascii="Tahoma" w:hAnsi="Tahoma" w:cs="Tahoma"/>
                <w:color w:val="000000"/>
                <w:sz w:val="20"/>
                <w:szCs w:val="20"/>
                <w:lang w:val="el-GR"/>
              </w:rPr>
              <w:t>)</w:t>
            </w:r>
          </w:p>
        </w:tc>
      </w:tr>
      <w:tr w:rsidR="009D3B5A" w:rsidRPr="00D23046" w14:paraId="7BA06E60" w14:textId="77777777" w:rsidTr="009D3B5A">
        <w:trPr>
          <w:trHeight w:val="300"/>
        </w:trPr>
        <w:tc>
          <w:tcPr>
            <w:tcW w:w="460" w:type="dxa"/>
            <w:tcBorders>
              <w:top w:val="nil"/>
              <w:left w:val="single" w:sz="4" w:space="0" w:color="auto"/>
              <w:bottom w:val="single" w:sz="4" w:space="0" w:color="auto"/>
              <w:right w:val="single" w:sz="4" w:space="0" w:color="auto"/>
            </w:tcBorders>
            <w:noWrap/>
            <w:vAlign w:val="center"/>
            <w:hideMark/>
          </w:tcPr>
          <w:p w14:paraId="7B236B9A" w14:textId="77777777" w:rsidR="009D3B5A" w:rsidRPr="00D23046" w:rsidRDefault="009D3B5A" w:rsidP="009D3B5A">
            <w:pPr>
              <w:spacing w:after="0" w:line="240" w:lineRule="auto"/>
              <w:ind w:firstLine="426"/>
              <w:jc w:val="center"/>
              <w:rPr>
                <w:rFonts w:ascii="Tahoma" w:hAnsi="Tahoma" w:cs="Tahoma"/>
                <w:color w:val="000000"/>
                <w:sz w:val="20"/>
                <w:szCs w:val="20"/>
                <w:lang w:eastAsia="el-GR"/>
              </w:rPr>
            </w:pPr>
            <w:r w:rsidRPr="00D23046">
              <w:rPr>
                <w:rFonts w:ascii="Tahoma" w:hAnsi="Tahoma" w:cs="Tahoma"/>
                <w:color w:val="000000"/>
                <w:sz w:val="20"/>
                <w:szCs w:val="20"/>
                <w:lang w:eastAsia="el-GR"/>
              </w:rPr>
              <w:t>5</w:t>
            </w:r>
          </w:p>
        </w:tc>
        <w:tc>
          <w:tcPr>
            <w:tcW w:w="8640" w:type="dxa"/>
            <w:tcBorders>
              <w:top w:val="single" w:sz="4" w:space="0" w:color="auto"/>
              <w:left w:val="nil"/>
              <w:bottom w:val="single" w:sz="4" w:space="0" w:color="auto"/>
              <w:right w:val="single" w:sz="4" w:space="0" w:color="auto"/>
            </w:tcBorders>
            <w:vAlign w:val="center"/>
            <w:hideMark/>
          </w:tcPr>
          <w:p w14:paraId="18E3F0FA" w14:textId="77777777" w:rsidR="009D3B5A" w:rsidRPr="00D23046" w:rsidRDefault="009D3B5A" w:rsidP="009D3B5A">
            <w:pPr>
              <w:rPr>
                <w:rFonts w:ascii="Tahoma" w:hAnsi="Tahoma" w:cs="Tahoma"/>
                <w:color w:val="000000"/>
                <w:sz w:val="20"/>
                <w:szCs w:val="20"/>
              </w:rPr>
            </w:pPr>
            <w:proofErr w:type="spellStart"/>
            <w:r w:rsidRPr="00D23046">
              <w:rPr>
                <w:rFonts w:ascii="Tahoma" w:hAnsi="Tahoma" w:cs="Tahoma"/>
                <w:color w:val="000000"/>
                <w:sz w:val="20"/>
                <w:szCs w:val="20"/>
              </w:rPr>
              <w:t>Αξιολόγηση</w:t>
            </w:r>
            <w:proofErr w:type="spellEnd"/>
            <w:r w:rsidRPr="00D23046">
              <w:rPr>
                <w:rFonts w:ascii="Tahoma" w:hAnsi="Tahoma" w:cs="Tahoma"/>
                <w:color w:val="000000"/>
                <w:sz w:val="20"/>
                <w:szCs w:val="20"/>
              </w:rPr>
              <w:t xml:space="preserve"> </w:t>
            </w:r>
            <w:proofErr w:type="spellStart"/>
            <w:r w:rsidRPr="00D23046">
              <w:rPr>
                <w:rFonts w:ascii="Tahoma" w:hAnsi="Tahoma" w:cs="Tahoma"/>
                <w:color w:val="000000"/>
                <w:sz w:val="20"/>
                <w:szCs w:val="20"/>
              </w:rPr>
              <w:t>Προσω</w:t>
            </w:r>
            <w:proofErr w:type="spellEnd"/>
            <w:r w:rsidRPr="00D23046">
              <w:rPr>
                <w:rFonts w:ascii="Tahoma" w:hAnsi="Tahoma" w:cs="Tahoma"/>
                <w:color w:val="000000"/>
                <w:sz w:val="20"/>
                <w:szCs w:val="20"/>
              </w:rPr>
              <w:t>πικού</w:t>
            </w:r>
          </w:p>
        </w:tc>
      </w:tr>
      <w:tr w:rsidR="009D3B5A" w:rsidRPr="00D23046" w14:paraId="7768152A" w14:textId="77777777" w:rsidTr="009D3B5A">
        <w:trPr>
          <w:trHeight w:val="300"/>
        </w:trPr>
        <w:tc>
          <w:tcPr>
            <w:tcW w:w="460" w:type="dxa"/>
            <w:tcBorders>
              <w:top w:val="nil"/>
              <w:left w:val="single" w:sz="4" w:space="0" w:color="auto"/>
              <w:bottom w:val="single" w:sz="4" w:space="0" w:color="auto"/>
              <w:right w:val="single" w:sz="4" w:space="0" w:color="auto"/>
            </w:tcBorders>
            <w:noWrap/>
            <w:vAlign w:val="center"/>
            <w:hideMark/>
          </w:tcPr>
          <w:p w14:paraId="54B7449F" w14:textId="77777777" w:rsidR="009D3B5A" w:rsidRPr="00D23046" w:rsidRDefault="009D3B5A" w:rsidP="009D3B5A">
            <w:pPr>
              <w:spacing w:after="0" w:line="240" w:lineRule="auto"/>
              <w:ind w:firstLine="426"/>
              <w:jc w:val="center"/>
              <w:rPr>
                <w:rFonts w:ascii="Tahoma" w:hAnsi="Tahoma" w:cs="Tahoma"/>
                <w:color w:val="000000"/>
                <w:sz w:val="20"/>
                <w:szCs w:val="20"/>
                <w:lang w:eastAsia="el-GR"/>
              </w:rPr>
            </w:pPr>
            <w:r w:rsidRPr="00D23046">
              <w:rPr>
                <w:rFonts w:ascii="Tahoma" w:hAnsi="Tahoma" w:cs="Tahoma"/>
                <w:color w:val="000000"/>
                <w:sz w:val="20"/>
                <w:szCs w:val="20"/>
                <w:lang w:eastAsia="el-GR"/>
              </w:rPr>
              <w:t>6</w:t>
            </w:r>
          </w:p>
        </w:tc>
        <w:tc>
          <w:tcPr>
            <w:tcW w:w="8640" w:type="dxa"/>
            <w:tcBorders>
              <w:top w:val="single" w:sz="4" w:space="0" w:color="auto"/>
              <w:left w:val="nil"/>
              <w:bottom w:val="single" w:sz="4" w:space="0" w:color="auto"/>
              <w:right w:val="single" w:sz="4" w:space="0" w:color="auto"/>
            </w:tcBorders>
            <w:vAlign w:val="center"/>
            <w:hideMark/>
          </w:tcPr>
          <w:p w14:paraId="15D06965" w14:textId="77777777" w:rsidR="009D3B5A" w:rsidRPr="00D23046" w:rsidRDefault="009D3B5A" w:rsidP="009D3B5A">
            <w:pPr>
              <w:rPr>
                <w:rFonts w:ascii="Tahoma" w:hAnsi="Tahoma" w:cs="Tahoma"/>
                <w:color w:val="000000"/>
                <w:sz w:val="20"/>
                <w:szCs w:val="20"/>
              </w:rPr>
            </w:pPr>
            <w:proofErr w:type="spellStart"/>
            <w:r w:rsidRPr="00D23046">
              <w:rPr>
                <w:rFonts w:ascii="Tahoma" w:hAnsi="Tahoma" w:cs="Tahoma"/>
                <w:color w:val="000000"/>
                <w:sz w:val="20"/>
                <w:szCs w:val="20"/>
              </w:rPr>
              <w:t>Αξιόγρ</w:t>
            </w:r>
            <w:proofErr w:type="spellEnd"/>
            <w:r w:rsidRPr="00D23046">
              <w:rPr>
                <w:rFonts w:ascii="Tahoma" w:hAnsi="Tahoma" w:cs="Tahoma"/>
                <w:color w:val="000000"/>
                <w:sz w:val="20"/>
                <w:szCs w:val="20"/>
              </w:rPr>
              <w:t xml:space="preserve">αφα – </w:t>
            </w:r>
            <w:proofErr w:type="spellStart"/>
            <w:r w:rsidRPr="00D23046">
              <w:rPr>
                <w:rFonts w:ascii="Tahoma" w:hAnsi="Tahoma" w:cs="Tahoma"/>
                <w:color w:val="000000"/>
                <w:sz w:val="20"/>
                <w:szCs w:val="20"/>
              </w:rPr>
              <w:t>Εγγυητικές</w:t>
            </w:r>
            <w:proofErr w:type="spellEnd"/>
            <w:r w:rsidRPr="00D23046">
              <w:rPr>
                <w:rFonts w:ascii="Tahoma" w:hAnsi="Tahoma" w:cs="Tahoma"/>
                <w:color w:val="000000"/>
                <w:sz w:val="20"/>
                <w:szCs w:val="20"/>
              </w:rPr>
              <w:t xml:space="preserve"> επ</w:t>
            </w:r>
            <w:proofErr w:type="spellStart"/>
            <w:r w:rsidRPr="00D23046">
              <w:rPr>
                <w:rFonts w:ascii="Tahoma" w:hAnsi="Tahoma" w:cs="Tahoma"/>
                <w:color w:val="000000"/>
                <w:sz w:val="20"/>
                <w:szCs w:val="20"/>
              </w:rPr>
              <w:t>ιστολές</w:t>
            </w:r>
            <w:proofErr w:type="spellEnd"/>
          </w:p>
        </w:tc>
      </w:tr>
      <w:tr w:rsidR="009D3B5A" w:rsidRPr="004C0581" w14:paraId="685351BE" w14:textId="77777777" w:rsidTr="009D3B5A">
        <w:trPr>
          <w:trHeight w:val="300"/>
        </w:trPr>
        <w:tc>
          <w:tcPr>
            <w:tcW w:w="460" w:type="dxa"/>
            <w:tcBorders>
              <w:top w:val="nil"/>
              <w:left w:val="single" w:sz="4" w:space="0" w:color="auto"/>
              <w:bottom w:val="single" w:sz="4" w:space="0" w:color="auto"/>
              <w:right w:val="single" w:sz="4" w:space="0" w:color="auto"/>
            </w:tcBorders>
            <w:noWrap/>
            <w:vAlign w:val="center"/>
            <w:hideMark/>
          </w:tcPr>
          <w:p w14:paraId="6F00E56A" w14:textId="77777777" w:rsidR="009D3B5A" w:rsidRPr="00D23046" w:rsidRDefault="009D3B5A" w:rsidP="009D3B5A">
            <w:pPr>
              <w:spacing w:after="0" w:line="240" w:lineRule="auto"/>
              <w:ind w:firstLine="426"/>
              <w:jc w:val="center"/>
              <w:rPr>
                <w:rFonts w:ascii="Tahoma" w:hAnsi="Tahoma" w:cs="Tahoma"/>
                <w:color w:val="000000"/>
                <w:sz w:val="20"/>
                <w:szCs w:val="20"/>
                <w:lang w:eastAsia="el-GR"/>
              </w:rPr>
            </w:pPr>
            <w:r w:rsidRPr="00D23046">
              <w:rPr>
                <w:rFonts w:ascii="Tahoma" w:hAnsi="Tahoma" w:cs="Tahoma"/>
                <w:color w:val="000000"/>
                <w:sz w:val="20"/>
                <w:szCs w:val="20"/>
                <w:lang w:eastAsia="el-GR"/>
              </w:rPr>
              <w:t>7</w:t>
            </w:r>
          </w:p>
        </w:tc>
        <w:tc>
          <w:tcPr>
            <w:tcW w:w="8640" w:type="dxa"/>
            <w:tcBorders>
              <w:top w:val="single" w:sz="4" w:space="0" w:color="auto"/>
              <w:left w:val="nil"/>
              <w:bottom w:val="single" w:sz="4" w:space="0" w:color="auto"/>
              <w:right w:val="single" w:sz="4" w:space="0" w:color="auto"/>
            </w:tcBorders>
            <w:vAlign w:val="center"/>
            <w:hideMark/>
          </w:tcPr>
          <w:p w14:paraId="106E08C6" w14:textId="77777777" w:rsidR="009D3B5A" w:rsidRPr="009D3B5A" w:rsidRDefault="009D3B5A" w:rsidP="009D3B5A">
            <w:pPr>
              <w:rPr>
                <w:rFonts w:ascii="Tahoma" w:hAnsi="Tahoma" w:cs="Tahoma"/>
                <w:color w:val="000000"/>
                <w:sz w:val="20"/>
                <w:szCs w:val="20"/>
                <w:lang w:val="el-GR"/>
              </w:rPr>
            </w:pPr>
            <w:r w:rsidRPr="009D3B5A">
              <w:rPr>
                <w:rFonts w:ascii="Tahoma" w:hAnsi="Tahoma" w:cs="Tahoma"/>
                <w:color w:val="000000"/>
                <w:sz w:val="20"/>
                <w:szCs w:val="20"/>
                <w:lang w:val="el-GR"/>
              </w:rPr>
              <w:t>Χρηματοδότηση Ιδιωτών (Στεγαστικά – Καταναλωτικά Δάνεια)</w:t>
            </w:r>
          </w:p>
        </w:tc>
      </w:tr>
    </w:tbl>
    <w:p w14:paraId="5F73E09B" w14:textId="77777777" w:rsidR="009D3B5A" w:rsidRPr="009D3B5A" w:rsidRDefault="009D3B5A" w:rsidP="009D3B5A">
      <w:pPr>
        <w:spacing w:after="0" w:line="240" w:lineRule="auto"/>
        <w:jc w:val="both"/>
        <w:rPr>
          <w:rFonts w:ascii="Tahoma" w:hAnsi="Tahoma" w:cs="Tahoma"/>
          <w:sz w:val="20"/>
          <w:szCs w:val="20"/>
          <w:lang w:val="el-GR"/>
        </w:rPr>
      </w:pPr>
    </w:p>
    <w:p w14:paraId="7B7C7A70" w14:textId="77777777" w:rsidR="009D3B5A" w:rsidRPr="009D3B5A" w:rsidRDefault="009D3B5A" w:rsidP="009D3B5A">
      <w:pPr>
        <w:spacing w:after="0" w:line="240" w:lineRule="auto"/>
        <w:jc w:val="both"/>
        <w:rPr>
          <w:rFonts w:ascii="Tahoma" w:hAnsi="Tahoma" w:cs="Tahoma"/>
          <w:sz w:val="20"/>
          <w:szCs w:val="20"/>
          <w:lang w:val="el-GR"/>
        </w:rPr>
      </w:pPr>
      <w:r w:rsidRPr="009D3B5A">
        <w:rPr>
          <w:rFonts w:ascii="Tahoma" w:hAnsi="Tahoma" w:cs="Tahoma"/>
          <w:sz w:val="20"/>
          <w:szCs w:val="20"/>
          <w:lang w:val="el-GR"/>
        </w:rPr>
        <w:t xml:space="preserve">Το μορφωτικό επίπεδο του απασχολούμενου προσωπικού (μόνιμου) με στοιχεία 31.12.2019 παρουσιάζεται στο παρακάτω διάγραμμα: </w:t>
      </w:r>
    </w:p>
    <w:p w14:paraId="71721C9C" w14:textId="77777777" w:rsidR="009D3B5A" w:rsidRPr="009D3B5A" w:rsidRDefault="009D3B5A" w:rsidP="009D3B5A">
      <w:pPr>
        <w:spacing w:after="0" w:line="240" w:lineRule="auto"/>
        <w:jc w:val="both"/>
        <w:rPr>
          <w:rFonts w:ascii="Tahoma" w:hAnsi="Tahoma" w:cs="Tahoma"/>
          <w:sz w:val="20"/>
          <w:szCs w:val="20"/>
          <w:lang w:val="el-GR"/>
        </w:rPr>
      </w:pPr>
      <w:r w:rsidRPr="00D23046">
        <w:rPr>
          <w:rFonts w:ascii="Tahoma" w:hAnsi="Tahoma" w:cs="Tahoma"/>
          <w:sz w:val="20"/>
          <w:szCs w:val="20"/>
        </w:rPr>
        <w:fldChar w:fldCharType="begin"/>
      </w:r>
      <w:r w:rsidRPr="009D3B5A">
        <w:rPr>
          <w:rFonts w:ascii="Tahoma" w:hAnsi="Tahoma" w:cs="Tahoma"/>
          <w:sz w:val="20"/>
          <w:szCs w:val="20"/>
          <w:lang w:val="el-GR"/>
        </w:rPr>
        <w:instrText xml:space="preserve"> </w:instrText>
      </w:r>
      <w:r w:rsidRPr="00D23046">
        <w:rPr>
          <w:rFonts w:ascii="Tahoma" w:hAnsi="Tahoma" w:cs="Tahoma"/>
          <w:sz w:val="20"/>
          <w:szCs w:val="20"/>
        </w:rPr>
        <w:instrText>LINK</w:instrText>
      </w:r>
      <w:r w:rsidRPr="009D3B5A">
        <w:rPr>
          <w:rFonts w:ascii="Tahoma" w:hAnsi="Tahoma" w:cs="Tahoma"/>
          <w:sz w:val="20"/>
          <w:szCs w:val="20"/>
          <w:lang w:val="el-GR"/>
        </w:rPr>
        <w:instrText xml:space="preserve"> </w:instrText>
      </w:r>
      <w:r w:rsidRPr="00D23046">
        <w:rPr>
          <w:rFonts w:ascii="Tahoma" w:hAnsi="Tahoma" w:cs="Tahoma"/>
          <w:sz w:val="20"/>
          <w:szCs w:val="20"/>
        </w:rPr>
        <w:instrText>Excel</w:instrText>
      </w:r>
      <w:r w:rsidRPr="009D3B5A">
        <w:rPr>
          <w:rFonts w:ascii="Tahoma" w:hAnsi="Tahoma" w:cs="Tahoma"/>
          <w:sz w:val="20"/>
          <w:szCs w:val="20"/>
          <w:lang w:val="el-GR"/>
        </w:rPr>
        <w:instrText>.</w:instrText>
      </w:r>
      <w:r w:rsidRPr="00D23046">
        <w:rPr>
          <w:rFonts w:ascii="Tahoma" w:hAnsi="Tahoma" w:cs="Tahoma"/>
          <w:sz w:val="20"/>
          <w:szCs w:val="20"/>
        </w:rPr>
        <w:instrText>Sheet</w:instrText>
      </w:r>
      <w:r w:rsidRPr="009D3B5A">
        <w:rPr>
          <w:rFonts w:ascii="Tahoma" w:hAnsi="Tahoma" w:cs="Tahoma"/>
          <w:sz w:val="20"/>
          <w:szCs w:val="20"/>
          <w:lang w:val="el-GR"/>
        </w:rPr>
        <w:instrText>.12 "</w:instrText>
      </w:r>
      <w:r w:rsidRPr="00D23046">
        <w:rPr>
          <w:rFonts w:ascii="Tahoma" w:hAnsi="Tahoma" w:cs="Tahoma"/>
          <w:sz w:val="20"/>
          <w:szCs w:val="20"/>
        </w:rPr>
        <w:instrText>C</w:instrText>
      </w:r>
      <w:r w:rsidRPr="009D3B5A">
        <w:rPr>
          <w:rFonts w:ascii="Tahoma" w:hAnsi="Tahoma" w:cs="Tahoma"/>
          <w:sz w:val="20"/>
          <w:szCs w:val="20"/>
          <w:lang w:val="el-GR"/>
        </w:rPr>
        <w:instrText>:\\</w:instrText>
      </w:r>
      <w:r w:rsidRPr="00D23046">
        <w:rPr>
          <w:rFonts w:ascii="Tahoma" w:hAnsi="Tahoma" w:cs="Tahoma"/>
          <w:sz w:val="20"/>
          <w:szCs w:val="20"/>
        </w:rPr>
        <w:instrText>Users</w:instrText>
      </w:r>
      <w:r w:rsidRPr="009D3B5A">
        <w:rPr>
          <w:rFonts w:ascii="Tahoma" w:hAnsi="Tahoma" w:cs="Tahoma"/>
          <w:sz w:val="20"/>
          <w:szCs w:val="20"/>
          <w:lang w:val="el-GR"/>
        </w:rPr>
        <w:instrText>\\</w:instrText>
      </w:r>
      <w:r w:rsidRPr="00D23046">
        <w:rPr>
          <w:rFonts w:ascii="Tahoma" w:hAnsi="Tahoma" w:cs="Tahoma"/>
          <w:sz w:val="20"/>
          <w:szCs w:val="20"/>
        </w:rPr>
        <w:instrText>fkavoura</w:instrText>
      </w:r>
      <w:r w:rsidRPr="009D3B5A">
        <w:rPr>
          <w:rFonts w:ascii="Tahoma" w:hAnsi="Tahoma" w:cs="Tahoma"/>
          <w:sz w:val="20"/>
          <w:szCs w:val="20"/>
          <w:lang w:val="el-GR"/>
        </w:rPr>
        <w:instrText>\\</w:instrText>
      </w:r>
      <w:r w:rsidRPr="00D23046">
        <w:rPr>
          <w:rFonts w:ascii="Tahoma" w:hAnsi="Tahoma" w:cs="Tahoma"/>
          <w:sz w:val="20"/>
          <w:szCs w:val="20"/>
        </w:rPr>
        <w:instrText>AppData</w:instrText>
      </w:r>
      <w:r w:rsidRPr="009D3B5A">
        <w:rPr>
          <w:rFonts w:ascii="Tahoma" w:hAnsi="Tahoma" w:cs="Tahoma"/>
          <w:sz w:val="20"/>
          <w:szCs w:val="20"/>
          <w:lang w:val="el-GR"/>
        </w:rPr>
        <w:instrText>\\</w:instrText>
      </w:r>
      <w:r w:rsidRPr="00D23046">
        <w:rPr>
          <w:rFonts w:ascii="Tahoma" w:hAnsi="Tahoma" w:cs="Tahoma"/>
          <w:sz w:val="20"/>
          <w:szCs w:val="20"/>
        </w:rPr>
        <w:instrText>Local</w:instrText>
      </w:r>
      <w:r w:rsidRPr="009D3B5A">
        <w:rPr>
          <w:rFonts w:ascii="Tahoma" w:hAnsi="Tahoma" w:cs="Tahoma"/>
          <w:sz w:val="20"/>
          <w:szCs w:val="20"/>
          <w:lang w:val="el-GR"/>
        </w:rPr>
        <w:instrText>\\</w:instrText>
      </w:r>
      <w:r w:rsidRPr="00D23046">
        <w:rPr>
          <w:rFonts w:ascii="Tahoma" w:hAnsi="Tahoma" w:cs="Tahoma"/>
          <w:sz w:val="20"/>
          <w:szCs w:val="20"/>
        </w:rPr>
        <w:instrText>Microsoft</w:instrText>
      </w:r>
      <w:r w:rsidRPr="009D3B5A">
        <w:rPr>
          <w:rFonts w:ascii="Tahoma" w:hAnsi="Tahoma" w:cs="Tahoma"/>
          <w:sz w:val="20"/>
          <w:szCs w:val="20"/>
          <w:lang w:val="el-GR"/>
        </w:rPr>
        <w:instrText>\\</w:instrText>
      </w:r>
      <w:r w:rsidRPr="00D23046">
        <w:rPr>
          <w:rFonts w:ascii="Tahoma" w:hAnsi="Tahoma" w:cs="Tahoma"/>
          <w:sz w:val="20"/>
          <w:szCs w:val="20"/>
        </w:rPr>
        <w:instrText>Windows</w:instrText>
      </w:r>
      <w:r w:rsidRPr="009D3B5A">
        <w:rPr>
          <w:rFonts w:ascii="Tahoma" w:hAnsi="Tahoma" w:cs="Tahoma"/>
          <w:sz w:val="20"/>
          <w:szCs w:val="20"/>
          <w:lang w:val="el-GR"/>
        </w:rPr>
        <w:instrText>\\</w:instrText>
      </w:r>
      <w:r w:rsidRPr="00D23046">
        <w:rPr>
          <w:rFonts w:ascii="Tahoma" w:hAnsi="Tahoma" w:cs="Tahoma"/>
          <w:sz w:val="20"/>
          <w:szCs w:val="20"/>
        </w:rPr>
        <w:instrText>INetCache</w:instrText>
      </w:r>
      <w:r w:rsidRPr="009D3B5A">
        <w:rPr>
          <w:rFonts w:ascii="Tahoma" w:hAnsi="Tahoma" w:cs="Tahoma"/>
          <w:sz w:val="20"/>
          <w:szCs w:val="20"/>
          <w:lang w:val="el-GR"/>
        </w:rPr>
        <w:instrText>\\</w:instrText>
      </w:r>
      <w:r w:rsidRPr="00D23046">
        <w:rPr>
          <w:rFonts w:ascii="Tahoma" w:hAnsi="Tahoma" w:cs="Tahoma"/>
          <w:sz w:val="20"/>
          <w:szCs w:val="20"/>
        </w:rPr>
        <w:instrText>Content</w:instrText>
      </w:r>
      <w:r w:rsidRPr="009D3B5A">
        <w:rPr>
          <w:rFonts w:ascii="Tahoma" w:hAnsi="Tahoma" w:cs="Tahoma"/>
          <w:sz w:val="20"/>
          <w:szCs w:val="20"/>
          <w:lang w:val="el-GR"/>
        </w:rPr>
        <w:instrText>.</w:instrText>
      </w:r>
      <w:r w:rsidRPr="00D23046">
        <w:rPr>
          <w:rFonts w:ascii="Tahoma" w:hAnsi="Tahoma" w:cs="Tahoma"/>
          <w:sz w:val="20"/>
          <w:szCs w:val="20"/>
        </w:rPr>
        <w:instrText>Outlook</w:instrText>
      </w:r>
      <w:r w:rsidRPr="009D3B5A">
        <w:rPr>
          <w:rFonts w:ascii="Tahoma" w:hAnsi="Tahoma" w:cs="Tahoma"/>
          <w:sz w:val="20"/>
          <w:szCs w:val="20"/>
          <w:lang w:val="el-GR"/>
        </w:rPr>
        <w:instrText>\\8</w:instrText>
      </w:r>
      <w:r w:rsidRPr="00D23046">
        <w:rPr>
          <w:rFonts w:ascii="Tahoma" w:hAnsi="Tahoma" w:cs="Tahoma"/>
          <w:sz w:val="20"/>
          <w:szCs w:val="20"/>
        </w:rPr>
        <w:instrText>HOQZMFN</w:instrText>
      </w:r>
      <w:r w:rsidRPr="009D3B5A">
        <w:rPr>
          <w:rFonts w:ascii="Tahoma" w:hAnsi="Tahoma" w:cs="Tahoma"/>
          <w:sz w:val="20"/>
          <w:szCs w:val="20"/>
          <w:lang w:val="el-GR"/>
        </w:rPr>
        <w:instrText>\\ΓΡΑΦΗΜΑ_ΑΝΘΡΩΠΙΝΟ_ΔΥΝΑΜΙΚΟ_2019.</w:instrText>
      </w:r>
      <w:r w:rsidRPr="00D23046">
        <w:rPr>
          <w:rFonts w:ascii="Tahoma" w:hAnsi="Tahoma" w:cs="Tahoma"/>
          <w:sz w:val="20"/>
          <w:szCs w:val="20"/>
        </w:rPr>
        <w:instrText>xlsx</w:instrText>
      </w:r>
      <w:r w:rsidRPr="009D3B5A">
        <w:rPr>
          <w:rFonts w:ascii="Tahoma" w:hAnsi="Tahoma" w:cs="Tahoma"/>
          <w:sz w:val="20"/>
          <w:szCs w:val="20"/>
          <w:lang w:val="el-GR"/>
        </w:rPr>
        <w:instrText>" "ΠΡΟΣΩΠΙΚΟ_2019!</w:instrText>
      </w:r>
      <w:r w:rsidRPr="00D23046">
        <w:rPr>
          <w:rFonts w:ascii="Tahoma" w:hAnsi="Tahoma" w:cs="Tahoma"/>
          <w:sz w:val="20"/>
          <w:szCs w:val="20"/>
        </w:rPr>
        <w:instrText>R</w:instrText>
      </w:r>
      <w:r w:rsidRPr="009D3B5A">
        <w:rPr>
          <w:rFonts w:ascii="Tahoma" w:hAnsi="Tahoma" w:cs="Tahoma"/>
          <w:sz w:val="20"/>
          <w:szCs w:val="20"/>
          <w:lang w:val="el-GR"/>
        </w:rPr>
        <w:instrText>1</w:instrText>
      </w:r>
      <w:r w:rsidRPr="00D23046">
        <w:rPr>
          <w:rFonts w:ascii="Tahoma" w:hAnsi="Tahoma" w:cs="Tahoma"/>
          <w:sz w:val="20"/>
          <w:szCs w:val="20"/>
        </w:rPr>
        <w:instrText>C</w:instrText>
      </w:r>
      <w:r w:rsidRPr="009D3B5A">
        <w:rPr>
          <w:rFonts w:ascii="Tahoma" w:hAnsi="Tahoma" w:cs="Tahoma"/>
          <w:sz w:val="20"/>
          <w:szCs w:val="20"/>
          <w:lang w:val="el-GR"/>
        </w:rPr>
        <w:instrText>1:</w:instrText>
      </w:r>
      <w:r w:rsidRPr="00D23046">
        <w:rPr>
          <w:rFonts w:ascii="Tahoma" w:hAnsi="Tahoma" w:cs="Tahoma"/>
          <w:sz w:val="20"/>
          <w:szCs w:val="20"/>
        </w:rPr>
        <w:instrText>R</w:instrText>
      </w:r>
      <w:r w:rsidRPr="009D3B5A">
        <w:rPr>
          <w:rFonts w:ascii="Tahoma" w:hAnsi="Tahoma" w:cs="Tahoma"/>
          <w:sz w:val="20"/>
          <w:szCs w:val="20"/>
          <w:lang w:val="el-GR"/>
        </w:rPr>
        <w:instrText>6</w:instrText>
      </w:r>
      <w:r w:rsidRPr="00D23046">
        <w:rPr>
          <w:rFonts w:ascii="Tahoma" w:hAnsi="Tahoma" w:cs="Tahoma"/>
          <w:sz w:val="20"/>
          <w:szCs w:val="20"/>
        </w:rPr>
        <w:instrText>C</w:instrText>
      </w:r>
      <w:r w:rsidRPr="009D3B5A">
        <w:rPr>
          <w:rFonts w:ascii="Tahoma" w:hAnsi="Tahoma" w:cs="Tahoma"/>
          <w:sz w:val="20"/>
          <w:szCs w:val="20"/>
          <w:lang w:val="el-GR"/>
        </w:rPr>
        <w:instrText>4" \</w:instrText>
      </w:r>
      <w:r w:rsidRPr="00D23046">
        <w:rPr>
          <w:rFonts w:ascii="Tahoma" w:hAnsi="Tahoma" w:cs="Tahoma"/>
          <w:sz w:val="20"/>
          <w:szCs w:val="20"/>
        </w:rPr>
        <w:instrText>a</w:instrText>
      </w:r>
      <w:r w:rsidRPr="009D3B5A">
        <w:rPr>
          <w:rFonts w:ascii="Tahoma" w:hAnsi="Tahoma" w:cs="Tahoma"/>
          <w:sz w:val="20"/>
          <w:szCs w:val="20"/>
          <w:lang w:val="el-GR"/>
        </w:rPr>
        <w:instrText xml:space="preserve"> \</w:instrText>
      </w:r>
      <w:r w:rsidRPr="00D23046">
        <w:rPr>
          <w:rFonts w:ascii="Tahoma" w:hAnsi="Tahoma" w:cs="Tahoma"/>
          <w:sz w:val="20"/>
          <w:szCs w:val="20"/>
        </w:rPr>
        <w:instrText>f</w:instrText>
      </w:r>
      <w:r w:rsidRPr="009D3B5A">
        <w:rPr>
          <w:rFonts w:ascii="Tahoma" w:hAnsi="Tahoma" w:cs="Tahoma"/>
          <w:sz w:val="20"/>
          <w:szCs w:val="20"/>
          <w:lang w:val="el-GR"/>
        </w:rPr>
        <w:instrText xml:space="preserve"> 4 \</w:instrText>
      </w:r>
      <w:r w:rsidRPr="00D23046">
        <w:rPr>
          <w:rFonts w:ascii="Tahoma" w:hAnsi="Tahoma" w:cs="Tahoma"/>
          <w:sz w:val="20"/>
          <w:szCs w:val="20"/>
        </w:rPr>
        <w:instrText>h</w:instrText>
      </w:r>
      <w:r w:rsidRPr="009D3B5A">
        <w:rPr>
          <w:rFonts w:ascii="Tahoma" w:hAnsi="Tahoma" w:cs="Tahoma"/>
          <w:sz w:val="20"/>
          <w:szCs w:val="20"/>
          <w:lang w:val="el-GR"/>
        </w:rPr>
        <w:instrText xml:space="preserve">  \* </w:instrText>
      </w:r>
      <w:r w:rsidRPr="00D23046">
        <w:rPr>
          <w:rFonts w:ascii="Tahoma" w:hAnsi="Tahoma" w:cs="Tahoma"/>
          <w:sz w:val="20"/>
          <w:szCs w:val="20"/>
        </w:rPr>
        <w:instrText>MERGEFORMAT</w:instrText>
      </w:r>
      <w:r w:rsidRPr="009D3B5A">
        <w:rPr>
          <w:rFonts w:ascii="Tahoma" w:hAnsi="Tahoma" w:cs="Tahoma"/>
          <w:sz w:val="20"/>
          <w:szCs w:val="20"/>
          <w:lang w:val="el-GR"/>
        </w:rPr>
        <w:instrText xml:space="preserve"> </w:instrText>
      </w:r>
      <w:r w:rsidRPr="00D23046">
        <w:rPr>
          <w:rFonts w:ascii="Tahoma" w:hAnsi="Tahoma" w:cs="Tahoma"/>
          <w:sz w:val="20"/>
          <w:szCs w:val="20"/>
        </w:rPr>
        <w:fldChar w:fldCharType="separate"/>
      </w:r>
    </w:p>
    <w:tbl>
      <w:tblPr>
        <w:tblW w:w="5160" w:type="dxa"/>
        <w:tblLook w:val="04A0" w:firstRow="1" w:lastRow="0" w:firstColumn="1" w:lastColumn="0" w:noHBand="0" w:noVBand="1"/>
      </w:tblPr>
      <w:tblGrid>
        <w:gridCol w:w="960"/>
        <w:gridCol w:w="2180"/>
        <w:gridCol w:w="1060"/>
        <w:gridCol w:w="1106"/>
      </w:tblGrid>
      <w:tr w:rsidR="009D3B5A" w:rsidRPr="00D23046" w14:paraId="6C744BDF" w14:textId="77777777" w:rsidTr="009D3B5A">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08BAD" w14:textId="77777777" w:rsidR="009D3B5A" w:rsidRPr="00D23046" w:rsidRDefault="009D3B5A" w:rsidP="009D3B5A">
            <w:pPr>
              <w:spacing w:after="0" w:line="240" w:lineRule="auto"/>
              <w:jc w:val="center"/>
              <w:rPr>
                <w:rFonts w:ascii="Tahoma" w:eastAsia="Times New Roman" w:hAnsi="Tahoma" w:cs="Tahoma"/>
                <w:b/>
                <w:bCs/>
                <w:sz w:val="20"/>
                <w:szCs w:val="20"/>
                <w:lang w:eastAsia="el-GR"/>
              </w:rPr>
            </w:pPr>
            <w:r w:rsidRPr="00D23046">
              <w:rPr>
                <w:rFonts w:ascii="Tahoma" w:eastAsia="Times New Roman" w:hAnsi="Tahoma" w:cs="Tahoma"/>
                <w:b/>
                <w:bCs/>
                <w:sz w:val="20"/>
                <w:szCs w:val="20"/>
                <w:lang w:eastAsia="el-GR"/>
              </w:rPr>
              <w:lastRenderedPageBreak/>
              <w:t>Α/Α</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12BB4132" w14:textId="77777777" w:rsidR="009D3B5A" w:rsidRPr="00D23046" w:rsidRDefault="009D3B5A" w:rsidP="009D3B5A">
            <w:pPr>
              <w:spacing w:after="0" w:line="240" w:lineRule="auto"/>
              <w:rPr>
                <w:rFonts w:ascii="Tahoma" w:eastAsia="Times New Roman" w:hAnsi="Tahoma" w:cs="Tahoma"/>
                <w:b/>
                <w:bCs/>
                <w:sz w:val="20"/>
                <w:szCs w:val="20"/>
                <w:lang w:eastAsia="el-GR"/>
              </w:rPr>
            </w:pPr>
            <w:proofErr w:type="spellStart"/>
            <w:r w:rsidRPr="00D23046">
              <w:rPr>
                <w:rFonts w:ascii="Tahoma" w:eastAsia="Times New Roman" w:hAnsi="Tahoma" w:cs="Tahoma"/>
                <w:b/>
                <w:bCs/>
                <w:sz w:val="20"/>
                <w:szCs w:val="20"/>
                <w:lang w:eastAsia="el-GR"/>
              </w:rPr>
              <w:t>Μορφωτικό</w:t>
            </w:r>
            <w:proofErr w:type="spellEnd"/>
            <w:r w:rsidRPr="00D23046">
              <w:rPr>
                <w:rFonts w:ascii="Tahoma" w:eastAsia="Times New Roman" w:hAnsi="Tahoma" w:cs="Tahoma"/>
                <w:b/>
                <w:bCs/>
                <w:sz w:val="20"/>
                <w:szCs w:val="20"/>
                <w:lang w:eastAsia="el-GR"/>
              </w:rPr>
              <w:t xml:space="preserve"> Επίπ</w:t>
            </w:r>
            <w:proofErr w:type="spellStart"/>
            <w:r w:rsidRPr="00D23046">
              <w:rPr>
                <w:rFonts w:ascii="Tahoma" w:eastAsia="Times New Roman" w:hAnsi="Tahoma" w:cs="Tahoma"/>
                <w:b/>
                <w:bCs/>
                <w:sz w:val="20"/>
                <w:szCs w:val="20"/>
                <w:lang w:eastAsia="el-GR"/>
              </w:rPr>
              <w:t>εδο</w:t>
            </w:r>
            <w:proofErr w:type="spellEnd"/>
            <w:r w:rsidRPr="00D23046">
              <w:rPr>
                <w:rFonts w:ascii="Tahoma" w:eastAsia="Times New Roman" w:hAnsi="Tahoma" w:cs="Tahoma"/>
                <w:b/>
                <w:bCs/>
                <w:sz w:val="20"/>
                <w:szCs w:val="20"/>
                <w:lang w:eastAsia="el-GR"/>
              </w:rPr>
              <w:t xml:space="preserve">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34C0CA5F" w14:textId="77777777" w:rsidR="009D3B5A" w:rsidRPr="00D23046" w:rsidRDefault="009D3B5A" w:rsidP="009D3B5A">
            <w:pPr>
              <w:spacing w:after="0" w:line="240" w:lineRule="auto"/>
              <w:jc w:val="center"/>
              <w:rPr>
                <w:rFonts w:ascii="Tahoma" w:eastAsia="Times New Roman" w:hAnsi="Tahoma" w:cs="Tahoma"/>
                <w:b/>
                <w:bCs/>
                <w:sz w:val="20"/>
                <w:szCs w:val="20"/>
                <w:lang w:eastAsia="el-GR"/>
              </w:rPr>
            </w:pPr>
            <w:proofErr w:type="spellStart"/>
            <w:r w:rsidRPr="00D23046">
              <w:rPr>
                <w:rFonts w:ascii="Tahoma" w:eastAsia="Times New Roman" w:hAnsi="Tahoma" w:cs="Tahoma"/>
                <w:b/>
                <w:bCs/>
                <w:sz w:val="20"/>
                <w:szCs w:val="20"/>
                <w:lang w:eastAsia="el-GR"/>
              </w:rPr>
              <w:t>Αριθμός</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320629F" w14:textId="77777777" w:rsidR="009D3B5A" w:rsidRPr="00D23046" w:rsidRDefault="009D3B5A" w:rsidP="009D3B5A">
            <w:pPr>
              <w:spacing w:after="0" w:line="240" w:lineRule="auto"/>
              <w:rPr>
                <w:rFonts w:ascii="Tahoma" w:eastAsia="Times New Roman" w:hAnsi="Tahoma" w:cs="Tahoma"/>
                <w:b/>
                <w:bCs/>
                <w:sz w:val="20"/>
                <w:szCs w:val="20"/>
                <w:lang w:eastAsia="el-GR"/>
              </w:rPr>
            </w:pPr>
            <w:proofErr w:type="spellStart"/>
            <w:r w:rsidRPr="00D23046">
              <w:rPr>
                <w:rFonts w:ascii="Tahoma" w:eastAsia="Times New Roman" w:hAnsi="Tahoma" w:cs="Tahoma"/>
                <w:b/>
                <w:bCs/>
                <w:sz w:val="20"/>
                <w:szCs w:val="20"/>
                <w:lang w:eastAsia="el-GR"/>
              </w:rPr>
              <w:t>Ποσοστό</w:t>
            </w:r>
            <w:proofErr w:type="spellEnd"/>
          </w:p>
        </w:tc>
      </w:tr>
      <w:tr w:rsidR="009D3B5A" w:rsidRPr="00D23046" w14:paraId="10548C73" w14:textId="77777777" w:rsidTr="009D3B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8F893F" w14:textId="77777777" w:rsidR="009D3B5A" w:rsidRPr="00D23046" w:rsidRDefault="009D3B5A" w:rsidP="009D3B5A">
            <w:pPr>
              <w:spacing w:after="0" w:line="240" w:lineRule="auto"/>
              <w:jc w:val="center"/>
              <w:rPr>
                <w:rFonts w:ascii="Tahoma" w:eastAsia="Times New Roman" w:hAnsi="Tahoma" w:cs="Tahoma"/>
                <w:b/>
                <w:bCs/>
                <w:sz w:val="20"/>
                <w:szCs w:val="20"/>
                <w:lang w:eastAsia="el-GR"/>
              </w:rPr>
            </w:pPr>
            <w:r w:rsidRPr="00D23046">
              <w:rPr>
                <w:rFonts w:ascii="Tahoma" w:eastAsia="Times New Roman" w:hAnsi="Tahoma" w:cs="Tahoma"/>
                <w:b/>
                <w:bCs/>
                <w:sz w:val="20"/>
                <w:szCs w:val="20"/>
                <w:lang w:eastAsia="el-GR"/>
              </w:rPr>
              <w:t>1</w:t>
            </w:r>
          </w:p>
        </w:tc>
        <w:tc>
          <w:tcPr>
            <w:tcW w:w="2180" w:type="dxa"/>
            <w:tcBorders>
              <w:top w:val="nil"/>
              <w:left w:val="nil"/>
              <w:bottom w:val="single" w:sz="4" w:space="0" w:color="auto"/>
              <w:right w:val="single" w:sz="4" w:space="0" w:color="auto"/>
            </w:tcBorders>
            <w:shd w:val="clear" w:color="auto" w:fill="auto"/>
            <w:noWrap/>
            <w:vAlign w:val="bottom"/>
            <w:hideMark/>
          </w:tcPr>
          <w:p w14:paraId="51910AA1" w14:textId="77777777" w:rsidR="009D3B5A" w:rsidRPr="00D23046" w:rsidRDefault="009D3B5A" w:rsidP="009D3B5A">
            <w:pPr>
              <w:spacing w:after="0" w:line="240" w:lineRule="auto"/>
              <w:rPr>
                <w:rFonts w:ascii="Tahoma" w:eastAsia="Times New Roman" w:hAnsi="Tahoma" w:cs="Tahoma"/>
                <w:sz w:val="20"/>
                <w:szCs w:val="20"/>
                <w:lang w:eastAsia="el-GR"/>
              </w:rPr>
            </w:pPr>
            <w:proofErr w:type="spellStart"/>
            <w:r w:rsidRPr="00D23046">
              <w:rPr>
                <w:rFonts w:ascii="Tahoma" w:eastAsia="Times New Roman" w:hAnsi="Tahoma" w:cs="Tahoma"/>
                <w:sz w:val="20"/>
                <w:szCs w:val="20"/>
                <w:lang w:eastAsia="el-GR"/>
              </w:rPr>
              <w:t>Μετ</w:t>
            </w:r>
            <w:proofErr w:type="spellEnd"/>
            <w:r w:rsidRPr="00D23046">
              <w:rPr>
                <w:rFonts w:ascii="Tahoma" w:eastAsia="Times New Roman" w:hAnsi="Tahoma" w:cs="Tahoma"/>
                <w:sz w:val="20"/>
                <w:szCs w:val="20"/>
                <w:lang w:eastAsia="el-GR"/>
              </w:rPr>
              <w:t>απτυχιακό</w:t>
            </w:r>
          </w:p>
        </w:tc>
        <w:tc>
          <w:tcPr>
            <w:tcW w:w="1060" w:type="dxa"/>
            <w:tcBorders>
              <w:top w:val="nil"/>
              <w:left w:val="nil"/>
              <w:bottom w:val="single" w:sz="4" w:space="0" w:color="auto"/>
              <w:right w:val="single" w:sz="4" w:space="0" w:color="auto"/>
            </w:tcBorders>
            <w:shd w:val="clear" w:color="auto" w:fill="auto"/>
            <w:noWrap/>
            <w:vAlign w:val="bottom"/>
            <w:hideMark/>
          </w:tcPr>
          <w:p w14:paraId="4451AD09" w14:textId="77777777" w:rsidR="009D3B5A" w:rsidRPr="00D23046" w:rsidRDefault="009D3B5A" w:rsidP="009D3B5A">
            <w:pPr>
              <w:spacing w:after="0" w:line="240" w:lineRule="auto"/>
              <w:jc w:val="center"/>
              <w:rPr>
                <w:rFonts w:ascii="Tahoma" w:eastAsia="Times New Roman" w:hAnsi="Tahoma" w:cs="Tahoma"/>
                <w:sz w:val="20"/>
                <w:szCs w:val="20"/>
                <w:lang w:eastAsia="el-GR"/>
              </w:rPr>
            </w:pPr>
            <w:r w:rsidRPr="00D23046">
              <w:rPr>
                <w:rFonts w:ascii="Tahoma" w:eastAsia="Times New Roman" w:hAnsi="Tahoma" w:cs="Tahoma"/>
                <w:sz w:val="20"/>
                <w:szCs w:val="20"/>
                <w:lang w:eastAsia="el-GR"/>
              </w:rPr>
              <w:t>21</w:t>
            </w:r>
          </w:p>
        </w:tc>
        <w:tc>
          <w:tcPr>
            <w:tcW w:w="960" w:type="dxa"/>
            <w:tcBorders>
              <w:top w:val="nil"/>
              <w:left w:val="nil"/>
              <w:bottom w:val="single" w:sz="4" w:space="0" w:color="auto"/>
              <w:right w:val="single" w:sz="4" w:space="0" w:color="auto"/>
            </w:tcBorders>
            <w:shd w:val="clear" w:color="auto" w:fill="auto"/>
            <w:noWrap/>
            <w:vAlign w:val="bottom"/>
            <w:hideMark/>
          </w:tcPr>
          <w:p w14:paraId="0C68175A" w14:textId="77777777" w:rsidR="009D3B5A" w:rsidRPr="00D23046" w:rsidRDefault="009D3B5A" w:rsidP="009D3B5A">
            <w:pPr>
              <w:spacing w:after="0" w:line="240" w:lineRule="auto"/>
              <w:jc w:val="right"/>
              <w:rPr>
                <w:rFonts w:ascii="Tahoma" w:eastAsia="Times New Roman" w:hAnsi="Tahoma" w:cs="Tahoma"/>
                <w:color w:val="000000"/>
                <w:sz w:val="20"/>
                <w:szCs w:val="20"/>
                <w:lang w:eastAsia="el-GR"/>
              </w:rPr>
            </w:pPr>
            <w:r w:rsidRPr="00D23046">
              <w:rPr>
                <w:rFonts w:ascii="Tahoma" w:eastAsia="Times New Roman" w:hAnsi="Tahoma" w:cs="Tahoma"/>
                <w:color w:val="000000"/>
                <w:sz w:val="20"/>
                <w:szCs w:val="20"/>
                <w:lang w:eastAsia="el-GR"/>
              </w:rPr>
              <w:t>24%</w:t>
            </w:r>
          </w:p>
        </w:tc>
      </w:tr>
      <w:tr w:rsidR="009D3B5A" w:rsidRPr="00D23046" w14:paraId="24878E27" w14:textId="77777777" w:rsidTr="009D3B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9CC676" w14:textId="77777777" w:rsidR="009D3B5A" w:rsidRPr="00D23046" w:rsidRDefault="009D3B5A" w:rsidP="009D3B5A">
            <w:pPr>
              <w:spacing w:after="0" w:line="240" w:lineRule="auto"/>
              <w:jc w:val="center"/>
              <w:rPr>
                <w:rFonts w:ascii="Tahoma" w:eastAsia="Times New Roman" w:hAnsi="Tahoma" w:cs="Tahoma"/>
                <w:b/>
                <w:bCs/>
                <w:sz w:val="20"/>
                <w:szCs w:val="20"/>
                <w:lang w:eastAsia="el-GR"/>
              </w:rPr>
            </w:pPr>
            <w:r w:rsidRPr="00D23046">
              <w:rPr>
                <w:rFonts w:ascii="Tahoma" w:eastAsia="Times New Roman" w:hAnsi="Tahoma" w:cs="Tahoma"/>
                <w:b/>
                <w:bCs/>
                <w:sz w:val="20"/>
                <w:szCs w:val="20"/>
                <w:lang w:eastAsia="el-GR"/>
              </w:rPr>
              <w:t>2</w:t>
            </w:r>
          </w:p>
        </w:tc>
        <w:tc>
          <w:tcPr>
            <w:tcW w:w="2180" w:type="dxa"/>
            <w:tcBorders>
              <w:top w:val="nil"/>
              <w:left w:val="nil"/>
              <w:bottom w:val="single" w:sz="4" w:space="0" w:color="auto"/>
              <w:right w:val="single" w:sz="4" w:space="0" w:color="auto"/>
            </w:tcBorders>
            <w:shd w:val="clear" w:color="auto" w:fill="auto"/>
            <w:noWrap/>
            <w:vAlign w:val="bottom"/>
            <w:hideMark/>
          </w:tcPr>
          <w:p w14:paraId="17765691" w14:textId="77777777" w:rsidR="009D3B5A" w:rsidRPr="00D23046" w:rsidRDefault="009D3B5A" w:rsidP="009D3B5A">
            <w:pPr>
              <w:spacing w:after="0" w:line="240" w:lineRule="auto"/>
              <w:rPr>
                <w:rFonts w:ascii="Tahoma" w:eastAsia="Times New Roman" w:hAnsi="Tahoma" w:cs="Tahoma"/>
                <w:sz w:val="20"/>
                <w:szCs w:val="20"/>
                <w:lang w:eastAsia="el-GR"/>
              </w:rPr>
            </w:pPr>
            <w:r w:rsidRPr="00D23046">
              <w:rPr>
                <w:rFonts w:ascii="Tahoma" w:eastAsia="Times New Roman" w:hAnsi="Tahoma" w:cs="Tahoma"/>
                <w:sz w:val="20"/>
                <w:szCs w:val="20"/>
                <w:lang w:eastAsia="el-GR"/>
              </w:rPr>
              <w:t>ΑΕΙ</w:t>
            </w:r>
          </w:p>
        </w:tc>
        <w:tc>
          <w:tcPr>
            <w:tcW w:w="1060" w:type="dxa"/>
            <w:tcBorders>
              <w:top w:val="nil"/>
              <w:left w:val="nil"/>
              <w:bottom w:val="single" w:sz="4" w:space="0" w:color="auto"/>
              <w:right w:val="single" w:sz="4" w:space="0" w:color="auto"/>
            </w:tcBorders>
            <w:shd w:val="clear" w:color="auto" w:fill="auto"/>
            <w:noWrap/>
            <w:vAlign w:val="bottom"/>
            <w:hideMark/>
          </w:tcPr>
          <w:p w14:paraId="31E3A6E8" w14:textId="77777777" w:rsidR="009D3B5A" w:rsidRPr="00D23046" w:rsidRDefault="009D3B5A" w:rsidP="009D3B5A">
            <w:pPr>
              <w:spacing w:after="0" w:line="240" w:lineRule="auto"/>
              <w:jc w:val="center"/>
              <w:rPr>
                <w:rFonts w:ascii="Tahoma" w:eastAsia="Times New Roman" w:hAnsi="Tahoma" w:cs="Tahoma"/>
                <w:sz w:val="20"/>
                <w:szCs w:val="20"/>
                <w:lang w:eastAsia="el-GR"/>
              </w:rPr>
            </w:pPr>
            <w:r w:rsidRPr="00D23046">
              <w:rPr>
                <w:rFonts w:ascii="Tahoma" w:eastAsia="Times New Roman" w:hAnsi="Tahoma" w:cs="Tahoma"/>
                <w:sz w:val="20"/>
                <w:szCs w:val="20"/>
                <w:lang w:eastAsia="el-GR"/>
              </w:rPr>
              <w:t>32</w:t>
            </w:r>
          </w:p>
        </w:tc>
        <w:tc>
          <w:tcPr>
            <w:tcW w:w="960" w:type="dxa"/>
            <w:tcBorders>
              <w:top w:val="nil"/>
              <w:left w:val="nil"/>
              <w:bottom w:val="single" w:sz="4" w:space="0" w:color="auto"/>
              <w:right w:val="single" w:sz="4" w:space="0" w:color="auto"/>
            </w:tcBorders>
            <w:shd w:val="clear" w:color="auto" w:fill="auto"/>
            <w:noWrap/>
            <w:vAlign w:val="bottom"/>
            <w:hideMark/>
          </w:tcPr>
          <w:p w14:paraId="0586EEE6" w14:textId="77777777" w:rsidR="009D3B5A" w:rsidRPr="00D23046" w:rsidRDefault="009D3B5A" w:rsidP="009D3B5A">
            <w:pPr>
              <w:spacing w:after="0" w:line="240" w:lineRule="auto"/>
              <w:jc w:val="right"/>
              <w:rPr>
                <w:rFonts w:ascii="Tahoma" w:eastAsia="Times New Roman" w:hAnsi="Tahoma" w:cs="Tahoma"/>
                <w:color w:val="000000"/>
                <w:sz w:val="20"/>
                <w:szCs w:val="20"/>
                <w:lang w:eastAsia="el-GR"/>
              </w:rPr>
            </w:pPr>
            <w:r w:rsidRPr="00D23046">
              <w:rPr>
                <w:rFonts w:ascii="Tahoma" w:eastAsia="Times New Roman" w:hAnsi="Tahoma" w:cs="Tahoma"/>
                <w:color w:val="000000"/>
                <w:sz w:val="20"/>
                <w:szCs w:val="20"/>
                <w:lang w:eastAsia="el-GR"/>
              </w:rPr>
              <w:t>37%</w:t>
            </w:r>
          </w:p>
        </w:tc>
      </w:tr>
      <w:tr w:rsidR="009D3B5A" w:rsidRPr="00D23046" w14:paraId="6E3A76E0" w14:textId="77777777" w:rsidTr="009D3B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65222A" w14:textId="77777777" w:rsidR="009D3B5A" w:rsidRPr="00D23046" w:rsidRDefault="009D3B5A" w:rsidP="009D3B5A">
            <w:pPr>
              <w:spacing w:after="0" w:line="240" w:lineRule="auto"/>
              <w:jc w:val="center"/>
              <w:rPr>
                <w:rFonts w:ascii="Tahoma" w:eastAsia="Times New Roman" w:hAnsi="Tahoma" w:cs="Tahoma"/>
                <w:b/>
                <w:bCs/>
                <w:sz w:val="20"/>
                <w:szCs w:val="20"/>
                <w:lang w:eastAsia="el-GR"/>
              </w:rPr>
            </w:pPr>
            <w:r w:rsidRPr="00D23046">
              <w:rPr>
                <w:rFonts w:ascii="Tahoma" w:eastAsia="Times New Roman" w:hAnsi="Tahoma" w:cs="Tahoma"/>
                <w:b/>
                <w:bCs/>
                <w:sz w:val="20"/>
                <w:szCs w:val="20"/>
                <w:lang w:eastAsia="el-GR"/>
              </w:rPr>
              <w:t>3</w:t>
            </w:r>
          </w:p>
        </w:tc>
        <w:tc>
          <w:tcPr>
            <w:tcW w:w="2180" w:type="dxa"/>
            <w:tcBorders>
              <w:top w:val="nil"/>
              <w:left w:val="nil"/>
              <w:bottom w:val="single" w:sz="4" w:space="0" w:color="auto"/>
              <w:right w:val="single" w:sz="4" w:space="0" w:color="auto"/>
            </w:tcBorders>
            <w:shd w:val="clear" w:color="auto" w:fill="auto"/>
            <w:noWrap/>
            <w:vAlign w:val="bottom"/>
            <w:hideMark/>
          </w:tcPr>
          <w:p w14:paraId="65DCA7B5" w14:textId="77777777" w:rsidR="009D3B5A" w:rsidRPr="00D23046" w:rsidRDefault="009D3B5A" w:rsidP="009D3B5A">
            <w:pPr>
              <w:spacing w:after="0" w:line="240" w:lineRule="auto"/>
              <w:rPr>
                <w:rFonts w:ascii="Tahoma" w:eastAsia="Times New Roman" w:hAnsi="Tahoma" w:cs="Tahoma"/>
                <w:sz w:val="20"/>
                <w:szCs w:val="20"/>
                <w:lang w:eastAsia="el-GR"/>
              </w:rPr>
            </w:pPr>
            <w:r w:rsidRPr="00D23046">
              <w:rPr>
                <w:rFonts w:ascii="Tahoma" w:eastAsia="Times New Roman" w:hAnsi="Tahoma" w:cs="Tahoma"/>
                <w:sz w:val="20"/>
                <w:szCs w:val="20"/>
                <w:lang w:eastAsia="el-GR"/>
              </w:rPr>
              <w:t>ΤΕΙ</w:t>
            </w:r>
          </w:p>
        </w:tc>
        <w:tc>
          <w:tcPr>
            <w:tcW w:w="1060" w:type="dxa"/>
            <w:tcBorders>
              <w:top w:val="nil"/>
              <w:left w:val="nil"/>
              <w:bottom w:val="single" w:sz="4" w:space="0" w:color="auto"/>
              <w:right w:val="single" w:sz="4" w:space="0" w:color="auto"/>
            </w:tcBorders>
            <w:shd w:val="clear" w:color="auto" w:fill="auto"/>
            <w:noWrap/>
            <w:vAlign w:val="bottom"/>
            <w:hideMark/>
          </w:tcPr>
          <w:p w14:paraId="5D1AADBC" w14:textId="77777777" w:rsidR="009D3B5A" w:rsidRPr="00D23046" w:rsidRDefault="009D3B5A" w:rsidP="009D3B5A">
            <w:pPr>
              <w:spacing w:after="0" w:line="240" w:lineRule="auto"/>
              <w:jc w:val="center"/>
              <w:rPr>
                <w:rFonts w:ascii="Tahoma" w:eastAsia="Times New Roman" w:hAnsi="Tahoma" w:cs="Tahoma"/>
                <w:sz w:val="20"/>
                <w:szCs w:val="20"/>
                <w:lang w:eastAsia="el-GR"/>
              </w:rPr>
            </w:pPr>
            <w:r w:rsidRPr="00D23046">
              <w:rPr>
                <w:rFonts w:ascii="Tahoma" w:eastAsia="Times New Roman" w:hAnsi="Tahoma" w:cs="Tahoma"/>
                <w:sz w:val="20"/>
                <w:szCs w:val="20"/>
                <w:lang w:eastAsia="el-GR"/>
              </w:rPr>
              <w:t>14</w:t>
            </w:r>
          </w:p>
        </w:tc>
        <w:tc>
          <w:tcPr>
            <w:tcW w:w="960" w:type="dxa"/>
            <w:tcBorders>
              <w:top w:val="nil"/>
              <w:left w:val="nil"/>
              <w:bottom w:val="single" w:sz="4" w:space="0" w:color="auto"/>
              <w:right w:val="single" w:sz="4" w:space="0" w:color="auto"/>
            </w:tcBorders>
            <w:shd w:val="clear" w:color="auto" w:fill="auto"/>
            <w:noWrap/>
            <w:vAlign w:val="bottom"/>
            <w:hideMark/>
          </w:tcPr>
          <w:p w14:paraId="6387DD1C" w14:textId="77777777" w:rsidR="009D3B5A" w:rsidRPr="00D23046" w:rsidRDefault="009D3B5A" w:rsidP="009D3B5A">
            <w:pPr>
              <w:spacing w:after="0" w:line="240" w:lineRule="auto"/>
              <w:jc w:val="right"/>
              <w:rPr>
                <w:rFonts w:ascii="Tahoma" w:eastAsia="Times New Roman" w:hAnsi="Tahoma" w:cs="Tahoma"/>
                <w:color w:val="000000"/>
                <w:sz w:val="20"/>
                <w:szCs w:val="20"/>
                <w:lang w:eastAsia="el-GR"/>
              </w:rPr>
            </w:pPr>
            <w:r w:rsidRPr="00D23046">
              <w:rPr>
                <w:rFonts w:ascii="Tahoma" w:eastAsia="Times New Roman" w:hAnsi="Tahoma" w:cs="Tahoma"/>
                <w:color w:val="000000"/>
                <w:sz w:val="20"/>
                <w:szCs w:val="20"/>
                <w:lang w:eastAsia="el-GR"/>
              </w:rPr>
              <w:t>16%</w:t>
            </w:r>
          </w:p>
        </w:tc>
      </w:tr>
      <w:tr w:rsidR="009D3B5A" w:rsidRPr="00D23046" w14:paraId="25FB9EE7" w14:textId="77777777" w:rsidTr="009D3B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EF6B4E" w14:textId="77777777" w:rsidR="009D3B5A" w:rsidRPr="00D23046" w:rsidRDefault="009D3B5A" w:rsidP="009D3B5A">
            <w:pPr>
              <w:spacing w:after="0" w:line="240" w:lineRule="auto"/>
              <w:jc w:val="center"/>
              <w:rPr>
                <w:rFonts w:ascii="Tahoma" w:eastAsia="Times New Roman" w:hAnsi="Tahoma" w:cs="Tahoma"/>
                <w:b/>
                <w:bCs/>
                <w:sz w:val="20"/>
                <w:szCs w:val="20"/>
                <w:lang w:eastAsia="el-GR"/>
              </w:rPr>
            </w:pPr>
            <w:r w:rsidRPr="00D23046">
              <w:rPr>
                <w:rFonts w:ascii="Tahoma" w:eastAsia="Times New Roman" w:hAnsi="Tahoma" w:cs="Tahoma"/>
                <w:b/>
                <w:bCs/>
                <w:sz w:val="20"/>
                <w:szCs w:val="20"/>
                <w:lang w:eastAsia="el-GR"/>
              </w:rPr>
              <w:t>4</w:t>
            </w:r>
          </w:p>
        </w:tc>
        <w:tc>
          <w:tcPr>
            <w:tcW w:w="2180" w:type="dxa"/>
            <w:tcBorders>
              <w:top w:val="nil"/>
              <w:left w:val="nil"/>
              <w:bottom w:val="single" w:sz="4" w:space="0" w:color="auto"/>
              <w:right w:val="single" w:sz="4" w:space="0" w:color="auto"/>
            </w:tcBorders>
            <w:shd w:val="clear" w:color="auto" w:fill="auto"/>
            <w:noWrap/>
            <w:vAlign w:val="bottom"/>
            <w:hideMark/>
          </w:tcPr>
          <w:p w14:paraId="22F479F6" w14:textId="77777777" w:rsidR="009D3B5A" w:rsidRPr="00D23046" w:rsidRDefault="009D3B5A" w:rsidP="009D3B5A">
            <w:pPr>
              <w:spacing w:after="0" w:line="240" w:lineRule="auto"/>
              <w:rPr>
                <w:rFonts w:ascii="Tahoma" w:eastAsia="Times New Roman" w:hAnsi="Tahoma" w:cs="Tahoma"/>
                <w:sz w:val="20"/>
                <w:szCs w:val="20"/>
                <w:lang w:eastAsia="el-GR"/>
              </w:rPr>
            </w:pPr>
            <w:proofErr w:type="spellStart"/>
            <w:r w:rsidRPr="00D23046">
              <w:rPr>
                <w:rFonts w:ascii="Tahoma" w:eastAsia="Times New Roman" w:hAnsi="Tahoma" w:cs="Tahoma"/>
                <w:sz w:val="20"/>
                <w:szCs w:val="20"/>
                <w:lang w:eastAsia="el-GR"/>
              </w:rPr>
              <w:t>Λύκειο</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14:paraId="17F7980E" w14:textId="77777777" w:rsidR="009D3B5A" w:rsidRPr="00D23046" w:rsidRDefault="009D3B5A" w:rsidP="009D3B5A">
            <w:pPr>
              <w:spacing w:after="0" w:line="240" w:lineRule="auto"/>
              <w:jc w:val="center"/>
              <w:rPr>
                <w:rFonts w:ascii="Tahoma" w:eastAsia="Times New Roman" w:hAnsi="Tahoma" w:cs="Tahoma"/>
                <w:sz w:val="20"/>
                <w:szCs w:val="20"/>
                <w:lang w:eastAsia="el-GR"/>
              </w:rPr>
            </w:pPr>
            <w:r w:rsidRPr="00D23046">
              <w:rPr>
                <w:rFonts w:ascii="Tahoma" w:eastAsia="Times New Roman" w:hAnsi="Tahoma" w:cs="Tahoma"/>
                <w:sz w:val="20"/>
                <w:szCs w:val="20"/>
                <w:lang w:eastAsia="el-GR"/>
              </w:rPr>
              <w:t>20</w:t>
            </w:r>
          </w:p>
        </w:tc>
        <w:tc>
          <w:tcPr>
            <w:tcW w:w="960" w:type="dxa"/>
            <w:tcBorders>
              <w:top w:val="nil"/>
              <w:left w:val="nil"/>
              <w:bottom w:val="single" w:sz="4" w:space="0" w:color="auto"/>
              <w:right w:val="single" w:sz="4" w:space="0" w:color="auto"/>
            </w:tcBorders>
            <w:shd w:val="clear" w:color="auto" w:fill="auto"/>
            <w:noWrap/>
            <w:vAlign w:val="bottom"/>
            <w:hideMark/>
          </w:tcPr>
          <w:p w14:paraId="109101B8" w14:textId="77777777" w:rsidR="009D3B5A" w:rsidRPr="00D23046" w:rsidRDefault="009D3B5A" w:rsidP="009D3B5A">
            <w:pPr>
              <w:spacing w:after="0" w:line="240" w:lineRule="auto"/>
              <w:jc w:val="right"/>
              <w:rPr>
                <w:rFonts w:ascii="Tahoma" w:eastAsia="Times New Roman" w:hAnsi="Tahoma" w:cs="Tahoma"/>
                <w:color w:val="000000"/>
                <w:sz w:val="20"/>
                <w:szCs w:val="20"/>
                <w:lang w:eastAsia="el-GR"/>
              </w:rPr>
            </w:pPr>
            <w:r w:rsidRPr="00D23046">
              <w:rPr>
                <w:rFonts w:ascii="Tahoma" w:eastAsia="Times New Roman" w:hAnsi="Tahoma" w:cs="Tahoma"/>
                <w:color w:val="000000"/>
                <w:sz w:val="20"/>
                <w:szCs w:val="20"/>
                <w:lang w:eastAsia="el-GR"/>
              </w:rPr>
              <w:t>23%</w:t>
            </w:r>
          </w:p>
        </w:tc>
      </w:tr>
      <w:tr w:rsidR="009D3B5A" w:rsidRPr="00D23046" w14:paraId="776FD44E" w14:textId="77777777" w:rsidTr="009D3B5A">
        <w:trPr>
          <w:trHeight w:val="255"/>
        </w:trPr>
        <w:tc>
          <w:tcPr>
            <w:tcW w:w="960" w:type="dxa"/>
            <w:tcBorders>
              <w:top w:val="nil"/>
              <w:left w:val="nil"/>
              <w:bottom w:val="nil"/>
              <w:right w:val="nil"/>
            </w:tcBorders>
            <w:shd w:val="clear" w:color="auto" w:fill="auto"/>
            <w:noWrap/>
            <w:vAlign w:val="bottom"/>
            <w:hideMark/>
          </w:tcPr>
          <w:p w14:paraId="410BBA17" w14:textId="77777777" w:rsidR="009D3B5A" w:rsidRPr="00D23046" w:rsidRDefault="009D3B5A" w:rsidP="009D3B5A">
            <w:pPr>
              <w:spacing w:after="0" w:line="240" w:lineRule="auto"/>
              <w:jc w:val="right"/>
              <w:rPr>
                <w:rFonts w:ascii="Tahoma" w:eastAsia="Times New Roman" w:hAnsi="Tahoma" w:cs="Tahoma"/>
                <w:color w:val="000000"/>
                <w:sz w:val="20"/>
                <w:szCs w:val="20"/>
                <w:lang w:eastAsia="el-GR"/>
              </w:rPr>
            </w:pP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9EEEAB4" w14:textId="77777777" w:rsidR="009D3B5A" w:rsidRPr="00D23046" w:rsidRDefault="009D3B5A" w:rsidP="009D3B5A">
            <w:pPr>
              <w:spacing w:after="0" w:line="240" w:lineRule="auto"/>
              <w:jc w:val="right"/>
              <w:rPr>
                <w:rFonts w:ascii="Tahoma" w:eastAsia="Times New Roman" w:hAnsi="Tahoma" w:cs="Tahoma"/>
                <w:b/>
                <w:bCs/>
                <w:sz w:val="20"/>
                <w:szCs w:val="20"/>
                <w:lang w:eastAsia="el-GR"/>
              </w:rPr>
            </w:pPr>
            <w:proofErr w:type="spellStart"/>
            <w:r w:rsidRPr="00D23046">
              <w:rPr>
                <w:rFonts w:ascii="Tahoma" w:eastAsia="Times New Roman" w:hAnsi="Tahoma" w:cs="Tahoma"/>
                <w:b/>
                <w:bCs/>
                <w:sz w:val="20"/>
                <w:szCs w:val="20"/>
                <w:lang w:eastAsia="el-GR"/>
              </w:rPr>
              <w:t>Σύνολο</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14:paraId="5DAF003D" w14:textId="77777777" w:rsidR="009D3B5A" w:rsidRPr="00D23046" w:rsidRDefault="009D3B5A" w:rsidP="009D3B5A">
            <w:pPr>
              <w:spacing w:after="0" w:line="240" w:lineRule="auto"/>
              <w:jc w:val="center"/>
              <w:rPr>
                <w:rFonts w:ascii="Tahoma" w:eastAsia="Times New Roman" w:hAnsi="Tahoma" w:cs="Tahoma"/>
                <w:b/>
                <w:bCs/>
                <w:sz w:val="20"/>
                <w:szCs w:val="20"/>
                <w:lang w:eastAsia="el-GR"/>
              </w:rPr>
            </w:pPr>
            <w:r w:rsidRPr="00D23046">
              <w:rPr>
                <w:rFonts w:ascii="Tahoma" w:eastAsia="Times New Roman" w:hAnsi="Tahoma" w:cs="Tahoma"/>
                <w:b/>
                <w:bCs/>
                <w:sz w:val="20"/>
                <w:szCs w:val="20"/>
                <w:lang w:eastAsia="el-GR"/>
              </w:rPr>
              <w:t>87</w:t>
            </w:r>
          </w:p>
        </w:tc>
        <w:tc>
          <w:tcPr>
            <w:tcW w:w="960" w:type="dxa"/>
            <w:tcBorders>
              <w:top w:val="nil"/>
              <w:left w:val="nil"/>
              <w:bottom w:val="single" w:sz="4" w:space="0" w:color="auto"/>
              <w:right w:val="single" w:sz="4" w:space="0" w:color="auto"/>
            </w:tcBorders>
            <w:shd w:val="clear" w:color="auto" w:fill="auto"/>
            <w:noWrap/>
            <w:vAlign w:val="bottom"/>
            <w:hideMark/>
          </w:tcPr>
          <w:p w14:paraId="1DA8FFF3" w14:textId="77777777" w:rsidR="009D3B5A" w:rsidRPr="00D23046" w:rsidRDefault="009D3B5A" w:rsidP="009D3B5A">
            <w:pPr>
              <w:spacing w:after="0" w:line="240" w:lineRule="auto"/>
              <w:jc w:val="right"/>
              <w:rPr>
                <w:rFonts w:ascii="Tahoma" w:eastAsia="Times New Roman" w:hAnsi="Tahoma" w:cs="Tahoma"/>
                <w:b/>
                <w:bCs/>
                <w:sz w:val="20"/>
                <w:szCs w:val="20"/>
                <w:lang w:eastAsia="el-GR"/>
              </w:rPr>
            </w:pPr>
            <w:r w:rsidRPr="00D23046">
              <w:rPr>
                <w:rFonts w:ascii="Tahoma" w:eastAsia="Times New Roman" w:hAnsi="Tahoma" w:cs="Tahoma"/>
                <w:b/>
                <w:bCs/>
                <w:sz w:val="20"/>
                <w:szCs w:val="20"/>
                <w:lang w:eastAsia="el-GR"/>
              </w:rPr>
              <w:t>100%</w:t>
            </w:r>
          </w:p>
        </w:tc>
      </w:tr>
    </w:tbl>
    <w:p w14:paraId="1830BC09" w14:textId="77777777" w:rsidR="009D3B5A" w:rsidRPr="00D23046" w:rsidRDefault="009D3B5A" w:rsidP="009D3B5A">
      <w:pPr>
        <w:tabs>
          <w:tab w:val="num" w:pos="709"/>
        </w:tabs>
        <w:spacing w:after="120" w:line="240" w:lineRule="auto"/>
        <w:jc w:val="both"/>
        <w:rPr>
          <w:rFonts w:ascii="Tahoma" w:hAnsi="Tahoma" w:cs="Tahoma"/>
          <w:color w:val="FF0000"/>
          <w:sz w:val="20"/>
          <w:szCs w:val="20"/>
        </w:rPr>
      </w:pPr>
      <w:r w:rsidRPr="00D23046">
        <w:rPr>
          <w:rFonts w:ascii="Tahoma" w:hAnsi="Tahoma" w:cs="Tahoma"/>
          <w:color w:val="FF0000"/>
          <w:sz w:val="20"/>
          <w:szCs w:val="20"/>
        </w:rPr>
        <w:fldChar w:fldCharType="end"/>
      </w:r>
    </w:p>
    <w:p w14:paraId="66B60805" w14:textId="77777777" w:rsidR="009D3B5A" w:rsidRDefault="009D3B5A" w:rsidP="009D3B5A">
      <w:pPr>
        <w:spacing w:after="120" w:line="240" w:lineRule="auto"/>
        <w:jc w:val="both"/>
        <w:rPr>
          <w:rFonts w:ascii="Tahoma" w:hAnsi="Tahoma" w:cs="Tahoma"/>
          <w:sz w:val="20"/>
          <w:szCs w:val="20"/>
          <w:lang w:val="el-GR"/>
        </w:rPr>
      </w:pPr>
    </w:p>
    <w:p w14:paraId="14406C24" w14:textId="77777777" w:rsidR="009D3B5A" w:rsidRPr="00F11D4D" w:rsidRDefault="009D3B5A" w:rsidP="00F11D4D">
      <w:pPr>
        <w:spacing w:after="120" w:line="240" w:lineRule="auto"/>
        <w:rPr>
          <w:rFonts w:ascii="Tahoma" w:hAnsi="Tahoma" w:cs="Tahoma"/>
          <w:b/>
          <w:caps/>
          <w:sz w:val="20"/>
          <w:szCs w:val="20"/>
        </w:rPr>
      </w:pPr>
      <w:r w:rsidRPr="00F11D4D">
        <w:rPr>
          <w:rFonts w:ascii="Tahoma" w:hAnsi="Tahoma" w:cs="Tahoma"/>
          <w:b/>
          <w:caps/>
          <w:sz w:val="20"/>
          <w:szCs w:val="20"/>
        </w:rPr>
        <w:t>ΧΡΗΜΑΤΟοικονομικεσ καταστασεις</w:t>
      </w:r>
    </w:p>
    <w:p w14:paraId="068156BB" w14:textId="77777777" w:rsidR="009D3B5A" w:rsidRPr="009D3B5A" w:rsidRDefault="009D3B5A" w:rsidP="009D3B5A">
      <w:pPr>
        <w:spacing w:after="120"/>
        <w:jc w:val="both"/>
        <w:rPr>
          <w:rFonts w:ascii="Tahoma" w:hAnsi="Tahoma" w:cs="Tahoma"/>
          <w:sz w:val="20"/>
          <w:szCs w:val="20"/>
          <w:lang w:val="el-GR"/>
        </w:rPr>
      </w:pPr>
      <w:r w:rsidRPr="009D3B5A">
        <w:rPr>
          <w:rFonts w:ascii="Tahoma" w:hAnsi="Tahoma" w:cs="Tahoma"/>
          <w:sz w:val="20"/>
          <w:szCs w:val="20"/>
          <w:lang w:val="el-GR"/>
        </w:rPr>
        <w:t xml:space="preserve">Οι καταστάσεις που ακολουθούν παρέχονται για συνοπτική πληροφόρηση για τους σκοπούς του φυλλαδίου του Απολογισμού. Έχουν ληφθεί από την Ετήσια </w:t>
      </w:r>
      <w:r w:rsidRPr="00D23046">
        <w:rPr>
          <w:rFonts w:ascii="Tahoma" w:hAnsi="Tahoma" w:cs="Tahoma"/>
          <w:sz w:val="20"/>
          <w:szCs w:val="20"/>
        </w:rPr>
        <w:t>X</w:t>
      </w:r>
      <w:proofErr w:type="spellStart"/>
      <w:r w:rsidRPr="009D3B5A">
        <w:rPr>
          <w:rFonts w:ascii="Tahoma" w:hAnsi="Tahoma" w:cs="Tahoma"/>
          <w:sz w:val="20"/>
          <w:szCs w:val="20"/>
          <w:lang w:val="el-GR"/>
        </w:rPr>
        <w:t>ρηματοοικονομική</w:t>
      </w:r>
      <w:proofErr w:type="spellEnd"/>
      <w:r w:rsidRPr="009D3B5A">
        <w:rPr>
          <w:rFonts w:ascii="Tahoma" w:hAnsi="Tahoma" w:cs="Tahoma"/>
          <w:sz w:val="20"/>
          <w:szCs w:val="20"/>
          <w:lang w:val="el-GR"/>
        </w:rPr>
        <w:t xml:space="preserve"> </w:t>
      </w:r>
      <w:proofErr w:type="spellStart"/>
      <w:r w:rsidRPr="009D3B5A">
        <w:rPr>
          <w:rFonts w:ascii="Tahoma" w:hAnsi="Tahoma" w:cs="Tahoma"/>
          <w:sz w:val="20"/>
          <w:szCs w:val="20"/>
          <w:lang w:val="el-GR"/>
        </w:rPr>
        <w:t>Εκθέση</w:t>
      </w:r>
      <w:proofErr w:type="spellEnd"/>
      <w:r w:rsidRPr="009D3B5A">
        <w:rPr>
          <w:rFonts w:ascii="Tahoma" w:hAnsi="Tahoma" w:cs="Tahoma"/>
          <w:sz w:val="20"/>
          <w:szCs w:val="20"/>
          <w:lang w:val="el-GR"/>
        </w:rPr>
        <w:t xml:space="preserve"> της Τράπεζας, οι οποία έχει συνταχθεί σύμφωνα με τα Διεθνή Πρότυπα Χρηματοοικονομικής Αναφοράς και είναι δημοσιευμένη στην ιστοσελίδα της Τράπεζας (</w:t>
      </w:r>
      <w:r w:rsidRPr="00D23046">
        <w:rPr>
          <w:rFonts w:ascii="Tahoma" w:hAnsi="Tahoma" w:cs="Tahoma"/>
          <w:sz w:val="20"/>
          <w:szCs w:val="20"/>
        </w:rPr>
        <w:t>www</w:t>
      </w:r>
      <w:r w:rsidRPr="009D3B5A">
        <w:rPr>
          <w:rFonts w:ascii="Tahoma" w:hAnsi="Tahoma" w:cs="Tahoma"/>
          <w:sz w:val="20"/>
          <w:szCs w:val="20"/>
          <w:lang w:val="el-GR"/>
        </w:rPr>
        <w:t>.</w:t>
      </w:r>
      <w:proofErr w:type="spellStart"/>
      <w:r w:rsidRPr="00D23046">
        <w:rPr>
          <w:rFonts w:ascii="Tahoma" w:hAnsi="Tahoma" w:cs="Tahoma"/>
          <w:sz w:val="20"/>
          <w:szCs w:val="20"/>
        </w:rPr>
        <w:t>bankofthessaly</w:t>
      </w:r>
      <w:proofErr w:type="spellEnd"/>
      <w:r w:rsidRPr="009D3B5A">
        <w:rPr>
          <w:rFonts w:ascii="Tahoma" w:hAnsi="Tahoma" w:cs="Tahoma"/>
          <w:sz w:val="20"/>
          <w:szCs w:val="20"/>
          <w:lang w:val="el-GR"/>
        </w:rPr>
        <w:t>.</w:t>
      </w:r>
      <w:r w:rsidRPr="00D23046">
        <w:rPr>
          <w:rFonts w:ascii="Tahoma" w:hAnsi="Tahoma" w:cs="Tahoma"/>
          <w:sz w:val="20"/>
          <w:szCs w:val="20"/>
        </w:rPr>
        <w:t>gr</w:t>
      </w:r>
      <w:r w:rsidRPr="009D3B5A">
        <w:rPr>
          <w:rFonts w:ascii="Tahoma" w:hAnsi="Tahoma" w:cs="Tahoma"/>
          <w:sz w:val="20"/>
          <w:szCs w:val="20"/>
          <w:lang w:val="el-GR"/>
        </w:rPr>
        <w:t xml:space="preserve">). Η Έκθεση αυτή μαζί με τις σημειώσεις που αποτελούν αναπόσπαστο μέρος της, απεικονίζει πλήρως τη χρηματοοικονομική θέση της Τράπεζας. </w:t>
      </w:r>
    </w:p>
    <w:p w14:paraId="2AE8F982" w14:textId="77777777" w:rsidR="009D3B5A" w:rsidRPr="00D23046" w:rsidRDefault="009D3B5A" w:rsidP="009D3B5A">
      <w:pPr>
        <w:spacing w:after="120"/>
        <w:rPr>
          <w:rFonts w:ascii="Tahoma" w:hAnsi="Tahoma" w:cs="Tahoma"/>
          <w:color w:val="FF0000"/>
          <w:sz w:val="20"/>
          <w:szCs w:val="20"/>
        </w:rPr>
      </w:pPr>
      <w:r w:rsidRPr="00D23046">
        <w:rPr>
          <w:rFonts w:ascii="Tahoma" w:hAnsi="Tahoma" w:cs="Tahoma"/>
          <w:noProof/>
          <w:sz w:val="20"/>
          <w:szCs w:val="20"/>
          <w:lang w:val="el-GR" w:eastAsia="el-GR"/>
        </w:rPr>
        <w:lastRenderedPageBreak/>
        <w:drawing>
          <wp:inline distT="0" distB="0" distL="0" distR="0" wp14:anchorId="4DE48179" wp14:editId="5247DAAB">
            <wp:extent cx="5427980" cy="7639679"/>
            <wp:effectExtent l="0" t="0" r="127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7980" cy="7639679"/>
                    </a:xfrm>
                    <a:prstGeom prst="rect">
                      <a:avLst/>
                    </a:prstGeom>
                    <a:noFill/>
                    <a:ln>
                      <a:noFill/>
                    </a:ln>
                  </pic:spPr>
                </pic:pic>
              </a:graphicData>
            </a:graphic>
          </wp:inline>
        </w:drawing>
      </w:r>
      <w:r w:rsidRPr="00D23046">
        <w:rPr>
          <w:rFonts w:ascii="Tahoma" w:hAnsi="Tahoma" w:cs="Tahoma"/>
          <w:sz w:val="20"/>
          <w:szCs w:val="20"/>
        </w:rPr>
        <w:t xml:space="preserve"> </w:t>
      </w:r>
      <w:r w:rsidRPr="00D23046">
        <w:rPr>
          <w:rFonts w:ascii="Tahoma" w:hAnsi="Tahoma" w:cs="Tahoma"/>
          <w:noProof/>
          <w:sz w:val="20"/>
          <w:szCs w:val="20"/>
          <w:lang w:val="el-GR" w:eastAsia="el-GR"/>
        </w:rPr>
        <w:lastRenderedPageBreak/>
        <w:drawing>
          <wp:inline distT="0" distB="0" distL="0" distR="0" wp14:anchorId="299CB88D" wp14:editId="7C60B84F">
            <wp:extent cx="5427980" cy="8141970"/>
            <wp:effectExtent l="0" t="0" r="127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7980" cy="8141970"/>
                    </a:xfrm>
                    <a:prstGeom prst="rect">
                      <a:avLst/>
                    </a:prstGeom>
                    <a:noFill/>
                    <a:ln>
                      <a:noFill/>
                    </a:ln>
                  </pic:spPr>
                </pic:pic>
              </a:graphicData>
            </a:graphic>
          </wp:inline>
        </w:drawing>
      </w:r>
      <w:r w:rsidRPr="00D23046">
        <w:rPr>
          <w:rFonts w:ascii="Tahoma" w:hAnsi="Tahoma" w:cs="Tahoma"/>
          <w:sz w:val="20"/>
          <w:szCs w:val="20"/>
        </w:rPr>
        <w:t xml:space="preserve"> </w:t>
      </w:r>
      <w:r w:rsidRPr="00D23046">
        <w:rPr>
          <w:rFonts w:ascii="Tahoma" w:hAnsi="Tahoma" w:cs="Tahoma"/>
          <w:color w:val="FF0000"/>
          <w:sz w:val="20"/>
          <w:szCs w:val="20"/>
        </w:rPr>
        <w:t xml:space="preserve"> </w:t>
      </w:r>
      <w:r w:rsidRPr="00D23046">
        <w:rPr>
          <w:rFonts w:ascii="Tahoma" w:hAnsi="Tahoma" w:cs="Tahoma"/>
          <w:color w:val="FF0000"/>
          <w:sz w:val="20"/>
          <w:szCs w:val="20"/>
        </w:rPr>
        <w:br w:type="page"/>
      </w:r>
    </w:p>
    <w:p w14:paraId="3971E841" w14:textId="77777777" w:rsidR="009D3B5A" w:rsidRPr="00D23046" w:rsidRDefault="009D3B5A" w:rsidP="009D3B5A">
      <w:pPr>
        <w:spacing w:after="120"/>
        <w:jc w:val="both"/>
        <w:rPr>
          <w:rFonts w:ascii="Tahoma" w:hAnsi="Tahoma" w:cs="Tahoma"/>
          <w:b/>
          <w:caps/>
          <w:color w:val="FF0000"/>
          <w:sz w:val="20"/>
          <w:szCs w:val="20"/>
          <w:u w:val="single"/>
        </w:rPr>
      </w:pPr>
      <w:r w:rsidRPr="00D23046">
        <w:rPr>
          <w:rFonts w:ascii="Tahoma" w:hAnsi="Tahoma" w:cs="Tahoma"/>
          <w:noProof/>
          <w:sz w:val="20"/>
          <w:szCs w:val="20"/>
          <w:lang w:val="el-GR" w:eastAsia="el-GR"/>
        </w:rPr>
        <w:lastRenderedPageBreak/>
        <w:drawing>
          <wp:inline distT="0" distB="0" distL="0" distR="0" wp14:anchorId="258BACA8" wp14:editId="7A6B698B">
            <wp:extent cx="5427980" cy="7983281"/>
            <wp:effectExtent l="0" t="0" r="127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7980" cy="7983281"/>
                    </a:xfrm>
                    <a:prstGeom prst="rect">
                      <a:avLst/>
                    </a:prstGeom>
                    <a:noFill/>
                    <a:ln>
                      <a:noFill/>
                    </a:ln>
                  </pic:spPr>
                </pic:pic>
              </a:graphicData>
            </a:graphic>
          </wp:inline>
        </w:drawing>
      </w:r>
      <w:r w:rsidRPr="00D23046">
        <w:rPr>
          <w:rFonts w:ascii="Tahoma" w:hAnsi="Tahoma" w:cs="Tahoma"/>
          <w:sz w:val="20"/>
          <w:szCs w:val="20"/>
        </w:rPr>
        <w:t xml:space="preserve"> </w:t>
      </w:r>
      <w:r w:rsidRPr="00D23046">
        <w:rPr>
          <w:rFonts w:ascii="Tahoma" w:hAnsi="Tahoma" w:cs="Tahoma"/>
          <w:color w:val="FF0000"/>
          <w:sz w:val="20"/>
          <w:szCs w:val="20"/>
        </w:rPr>
        <w:t xml:space="preserve"> </w:t>
      </w:r>
      <w:r w:rsidRPr="00D23046">
        <w:rPr>
          <w:rFonts w:ascii="Tahoma" w:hAnsi="Tahoma" w:cs="Tahoma"/>
          <w:b/>
          <w:caps/>
          <w:color w:val="FF0000"/>
          <w:sz w:val="20"/>
          <w:szCs w:val="20"/>
          <w:u w:val="single"/>
        </w:rPr>
        <w:br w:type="page"/>
      </w:r>
    </w:p>
    <w:p w14:paraId="174918C1" w14:textId="77777777" w:rsidR="009D3B5A" w:rsidRPr="00D23046" w:rsidRDefault="009D3B5A" w:rsidP="009D3B5A">
      <w:pPr>
        <w:spacing w:after="120"/>
        <w:rPr>
          <w:rFonts w:ascii="Tahoma" w:hAnsi="Tahoma" w:cs="Tahoma"/>
          <w:b/>
          <w:caps/>
          <w:color w:val="FF0000"/>
          <w:sz w:val="20"/>
          <w:szCs w:val="20"/>
        </w:rPr>
      </w:pPr>
      <w:r w:rsidRPr="00D23046">
        <w:rPr>
          <w:rFonts w:ascii="Tahoma" w:hAnsi="Tahoma" w:cs="Tahoma"/>
          <w:noProof/>
          <w:sz w:val="20"/>
          <w:szCs w:val="20"/>
          <w:lang w:val="el-GR" w:eastAsia="el-GR"/>
        </w:rPr>
        <w:lastRenderedPageBreak/>
        <w:drawing>
          <wp:inline distT="0" distB="0" distL="0" distR="0" wp14:anchorId="05BCE266" wp14:editId="3A4621EC">
            <wp:extent cx="5427980" cy="8323377"/>
            <wp:effectExtent l="0" t="0" r="1270" b="1905"/>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7980" cy="8323377"/>
                    </a:xfrm>
                    <a:prstGeom prst="rect">
                      <a:avLst/>
                    </a:prstGeom>
                    <a:noFill/>
                    <a:ln>
                      <a:noFill/>
                    </a:ln>
                  </pic:spPr>
                </pic:pic>
              </a:graphicData>
            </a:graphic>
          </wp:inline>
        </w:drawing>
      </w:r>
      <w:r w:rsidRPr="00D23046">
        <w:rPr>
          <w:rFonts w:ascii="Tahoma" w:hAnsi="Tahoma" w:cs="Tahoma"/>
          <w:sz w:val="20"/>
          <w:szCs w:val="20"/>
        </w:rPr>
        <w:t xml:space="preserve"> </w:t>
      </w:r>
      <w:r w:rsidRPr="00D23046">
        <w:rPr>
          <w:rFonts w:ascii="Tahoma" w:hAnsi="Tahoma" w:cs="Tahoma"/>
          <w:b/>
          <w:caps/>
          <w:color w:val="FF0000"/>
          <w:sz w:val="20"/>
          <w:szCs w:val="20"/>
        </w:rPr>
        <w:br w:type="page"/>
      </w:r>
    </w:p>
    <w:p w14:paraId="6A476E97" w14:textId="77777777" w:rsidR="009D3B5A" w:rsidRPr="00D23046" w:rsidRDefault="009D3B5A" w:rsidP="009D3B5A">
      <w:pPr>
        <w:spacing w:after="120"/>
        <w:rPr>
          <w:rFonts w:ascii="Tahoma" w:hAnsi="Tahoma" w:cs="Tahoma"/>
          <w:noProof/>
          <w:sz w:val="20"/>
          <w:szCs w:val="20"/>
          <w:lang w:eastAsia="el-GR"/>
        </w:rPr>
      </w:pPr>
    </w:p>
    <w:p w14:paraId="516A85D3" w14:textId="77777777" w:rsidR="009D3B5A" w:rsidRPr="00D23046" w:rsidRDefault="009D3B5A" w:rsidP="009D3B5A">
      <w:pPr>
        <w:spacing w:after="120"/>
        <w:rPr>
          <w:rFonts w:ascii="Tahoma" w:hAnsi="Tahoma" w:cs="Tahoma"/>
          <w:noProof/>
          <w:sz w:val="20"/>
          <w:szCs w:val="20"/>
          <w:lang w:eastAsia="el-GR"/>
        </w:rPr>
      </w:pPr>
    </w:p>
    <w:p w14:paraId="7E9CC9DD" w14:textId="77777777" w:rsidR="009D3B5A" w:rsidRPr="00D23046" w:rsidRDefault="009D3B5A" w:rsidP="009D3B5A">
      <w:pPr>
        <w:spacing w:after="120"/>
        <w:rPr>
          <w:rFonts w:ascii="Tahoma" w:hAnsi="Tahoma" w:cs="Tahoma"/>
          <w:noProof/>
          <w:sz w:val="20"/>
          <w:szCs w:val="20"/>
          <w:lang w:eastAsia="el-GR"/>
        </w:rPr>
      </w:pPr>
    </w:p>
    <w:p w14:paraId="5FF917CC" w14:textId="77777777" w:rsidR="009D3B5A" w:rsidRPr="00D23046" w:rsidRDefault="009D3B5A" w:rsidP="009D3B5A">
      <w:pPr>
        <w:spacing w:after="120"/>
        <w:rPr>
          <w:rFonts w:ascii="Tahoma" w:hAnsi="Tahoma" w:cs="Tahoma"/>
          <w:b/>
          <w:caps/>
          <w:color w:val="FF0000"/>
          <w:sz w:val="20"/>
          <w:szCs w:val="20"/>
        </w:rPr>
      </w:pPr>
      <w:r w:rsidRPr="00D23046">
        <w:rPr>
          <w:rFonts w:ascii="Tahoma" w:hAnsi="Tahoma" w:cs="Tahoma"/>
          <w:noProof/>
          <w:sz w:val="20"/>
          <w:szCs w:val="20"/>
          <w:lang w:val="el-GR" w:eastAsia="el-GR"/>
        </w:rPr>
        <w:drawing>
          <wp:inline distT="0" distB="0" distL="0" distR="0" wp14:anchorId="2F901D6C" wp14:editId="381476B8">
            <wp:extent cx="5427574" cy="7143750"/>
            <wp:effectExtent l="0" t="0" r="1905" b="0"/>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3705" cy="7151820"/>
                    </a:xfrm>
                    <a:prstGeom prst="rect">
                      <a:avLst/>
                    </a:prstGeom>
                    <a:noFill/>
                    <a:ln>
                      <a:noFill/>
                    </a:ln>
                  </pic:spPr>
                </pic:pic>
              </a:graphicData>
            </a:graphic>
          </wp:inline>
        </w:drawing>
      </w:r>
      <w:r w:rsidRPr="00D23046">
        <w:rPr>
          <w:rFonts w:ascii="Tahoma" w:hAnsi="Tahoma" w:cs="Tahoma"/>
          <w:color w:val="FF0000"/>
          <w:sz w:val="20"/>
          <w:szCs w:val="20"/>
        </w:rPr>
        <w:t xml:space="preserve"> </w:t>
      </w:r>
      <w:r w:rsidRPr="00D23046">
        <w:rPr>
          <w:rFonts w:ascii="Tahoma" w:hAnsi="Tahoma" w:cs="Tahoma"/>
          <w:b/>
          <w:caps/>
          <w:color w:val="FF0000"/>
          <w:sz w:val="20"/>
          <w:szCs w:val="20"/>
        </w:rPr>
        <w:br w:type="page"/>
      </w:r>
    </w:p>
    <w:p w14:paraId="7212D854" w14:textId="77777777" w:rsidR="009D3B5A" w:rsidRPr="00D23046" w:rsidRDefault="009D3B5A" w:rsidP="009D3B5A">
      <w:pPr>
        <w:pStyle w:val="a9"/>
        <w:numPr>
          <w:ilvl w:val="0"/>
          <w:numId w:val="6"/>
        </w:numPr>
        <w:spacing w:after="120"/>
        <w:rPr>
          <w:rFonts w:ascii="Tahoma" w:hAnsi="Tahoma" w:cs="Tahoma"/>
          <w:b/>
          <w:caps/>
          <w:sz w:val="20"/>
          <w:szCs w:val="20"/>
        </w:rPr>
      </w:pPr>
      <w:r w:rsidRPr="00D23046">
        <w:rPr>
          <w:rFonts w:ascii="Tahoma" w:hAnsi="Tahoma" w:cs="Tahoma"/>
          <w:b/>
          <w:caps/>
          <w:sz w:val="20"/>
          <w:szCs w:val="20"/>
        </w:rPr>
        <w:lastRenderedPageBreak/>
        <w:t>απολογιΣΜΟΣ 2019 – ΠΡΟΥΠΟΛΟΓΙΣΜΟΣ 2020</w:t>
      </w:r>
    </w:p>
    <w:p w14:paraId="58020BF2" w14:textId="77777777" w:rsidR="009D3B5A" w:rsidRPr="00D23046" w:rsidRDefault="009D3B5A" w:rsidP="009D3B5A">
      <w:pPr>
        <w:spacing w:after="120"/>
        <w:rPr>
          <w:rFonts w:ascii="Tahoma" w:hAnsi="Tahoma" w:cs="Tahoma"/>
          <w:b/>
          <w:caps/>
          <w:sz w:val="20"/>
          <w:szCs w:val="20"/>
        </w:rPr>
      </w:pPr>
    </w:p>
    <w:p w14:paraId="61911F73" w14:textId="77777777" w:rsidR="009D3B5A" w:rsidRPr="00D23046" w:rsidRDefault="009D3B5A" w:rsidP="009D3B5A">
      <w:pPr>
        <w:pStyle w:val="a9"/>
        <w:spacing w:after="120"/>
        <w:ind w:left="360"/>
        <w:rPr>
          <w:rFonts w:ascii="Tahoma" w:hAnsi="Tahoma" w:cs="Tahoma"/>
          <w:b/>
          <w:caps/>
          <w:color w:val="FF0000"/>
          <w:sz w:val="20"/>
          <w:szCs w:val="20"/>
        </w:rPr>
      </w:pPr>
      <w:r w:rsidRPr="00D23046">
        <w:rPr>
          <w:rFonts w:ascii="Tahoma" w:hAnsi="Tahoma" w:cs="Tahoma"/>
          <w:noProof/>
          <w:sz w:val="20"/>
          <w:szCs w:val="20"/>
          <w:lang w:val="el-GR" w:eastAsia="el-GR"/>
        </w:rPr>
        <w:lastRenderedPageBreak/>
        <w:drawing>
          <wp:inline distT="0" distB="0" distL="0" distR="0" wp14:anchorId="228D8B14" wp14:editId="40564D83">
            <wp:extent cx="5427980" cy="7958489"/>
            <wp:effectExtent l="0" t="0" r="1270" b="4445"/>
            <wp:docPr id="20"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7980" cy="7958489"/>
                    </a:xfrm>
                    <a:prstGeom prst="rect">
                      <a:avLst/>
                    </a:prstGeom>
                    <a:noFill/>
                    <a:ln>
                      <a:noFill/>
                    </a:ln>
                  </pic:spPr>
                </pic:pic>
              </a:graphicData>
            </a:graphic>
          </wp:inline>
        </w:drawing>
      </w:r>
      <w:r w:rsidRPr="00D23046">
        <w:rPr>
          <w:rFonts w:ascii="Tahoma" w:hAnsi="Tahoma" w:cs="Tahoma"/>
          <w:b/>
          <w:caps/>
          <w:color w:val="FF0000"/>
          <w:sz w:val="20"/>
          <w:szCs w:val="20"/>
        </w:rPr>
        <w:br w:type="page"/>
      </w:r>
    </w:p>
    <w:p w14:paraId="768AFA9F" w14:textId="77777777" w:rsidR="009D3B5A" w:rsidRPr="008F4F67" w:rsidRDefault="009D3B5A" w:rsidP="009D3B5A">
      <w:pPr>
        <w:spacing w:after="0" w:line="240" w:lineRule="auto"/>
        <w:rPr>
          <w:rFonts w:ascii="Tahoma" w:hAnsi="Tahoma" w:cs="Tahoma"/>
          <w:b/>
          <w:sz w:val="20"/>
          <w:szCs w:val="20"/>
          <w:lang w:val="el-GR"/>
        </w:rPr>
      </w:pPr>
      <w:r w:rsidRPr="008F4F67">
        <w:rPr>
          <w:rFonts w:ascii="Tahoma" w:hAnsi="Tahoma" w:cs="Tahoma"/>
          <w:b/>
          <w:sz w:val="20"/>
          <w:szCs w:val="20"/>
          <w:lang w:val="el-GR"/>
        </w:rPr>
        <w:lastRenderedPageBreak/>
        <w:t>Έγκριση όρων 7ετούς ομολόγου μειωμένης εξασφάλισης</w:t>
      </w:r>
    </w:p>
    <w:p w14:paraId="4CBD9358" w14:textId="77777777" w:rsidR="009D3B5A" w:rsidRPr="00157980" w:rsidRDefault="009D3B5A" w:rsidP="009D3B5A">
      <w:pPr>
        <w:spacing w:after="0" w:line="240" w:lineRule="auto"/>
        <w:rPr>
          <w:rFonts w:ascii="Tahoma" w:hAnsi="Tahoma" w:cs="Tahoma"/>
          <w:sz w:val="20"/>
          <w:szCs w:val="20"/>
          <w:lang w:val="el-GR"/>
        </w:rPr>
      </w:pPr>
    </w:p>
    <w:p w14:paraId="1FCA76A8" w14:textId="77777777" w:rsidR="009D3B5A" w:rsidRPr="00157980" w:rsidRDefault="009D3B5A" w:rsidP="009D3B5A">
      <w:pPr>
        <w:spacing w:after="0" w:line="240" w:lineRule="auto"/>
        <w:jc w:val="both"/>
        <w:rPr>
          <w:rFonts w:ascii="Tahoma" w:eastAsia="Times New Roman" w:hAnsi="Tahoma" w:cs="Tahoma"/>
          <w:sz w:val="20"/>
          <w:szCs w:val="20"/>
          <w:lang w:val="el-GR" w:eastAsia="el-GR"/>
        </w:rPr>
      </w:pPr>
      <w:r w:rsidRPr="00157980">
        <w:rPr>
          <w:rFonts w:ascii="Tahoma" w:eastAsia="Tahoma" w:hAnsi="Tahoma" w:cs="Tahoma"/>
          <w:color w:val="000000" w:themeColor="text1"/>
          <w:kern w:val="24"/>
          <w:sz w:val="20"/>
          <w:szCs w:val="20"/>
          <w:lang w:val="el-GR" w:eastAsia="el-GR"/>
        </w:rPr>
        <w:t xml:space="preserve">Το Διοικητικό Συμβούλιο της Συνεταιριστικής Τράπεζας Θεσσαλίας, αποφάσισε στη συνεδρίαση του υπ’ αριθ. </w:t>
      </w:r>
      <w:r>
        <w:rPr>
          <w:rFonts w:ascii="Tahoma" w:eastAsia="Tahoma" w:hAnsi="Tahoma" w:cs="Tahoma"/>
          <w:color w:val="000000" w:themeColor="text1"/>
          <w:kern w:val="24"/>
          <w:sz w:val="20"/>
          <w:szCs w:val="20"/>
          <w:lang w:val="el-GR" w:eastAsia="el-GR"/>
        </w:rPr>
        <w:t>1015</w:t>
      </w:r>
      <w:r w:rsidRPr="00157980">
        <w:rPr>
          <w:rFonts w:ascii="Tahoma" w:eastAsia="Tahoma" w:hAnsi="Tahoma" w:cs="Tahoma"/>
          <w:color w:val="000000" w:themeColor="text1"/>
          <w:kern w:val="24"/>
          <w:sz w:val="20"/>
          <w:szCs w:val="20"/>
          <w:lang w:val="el-GR" w:eastAsia="el-GR"/>
        </w:rPr>
        <w:t>/</w:t>
      </w:r>
      <w:r>
        <w:rPr>
          <w:rFonts w:ascii="Tahoma" w:eastAsia="Tahoma" w:hAnsi="Tahoma" w:cs="Tahoma"/>
          <w:color w:val="000000" w:themeColor="text1"/>
          <w:kern w:val="24"/>
          <w:sz w:val="20"/>
          <w:szCs w:val="20"/>
          <w:lang w:val="el-GR" w:eastAsia="el-GR"/>
        </w:rPr>
        <w:t>16</w:t>
      </w:r>
      <w:r w:rsidRPr="00157980">
        <w:rPr>
          <w:rFonts w:ascii="Tahoma" w:eastAsia="Tahoma" w:hAnsi="Tahoma" w:cs="Tahoma"/>
          <w:color w:val="000000" w:themeColor="text1"/>
          <w:kern w:val="24"/>
          <w:sz w:val="20"/>
          <w:szCs w:val="20"/>
          <w:lang w:val="el-GR" w:eastAsia="el-GR"/>
        </w:rPr>
        <w:t>.</w:t>
      </w:r>
      <w:r>
        <w:rPr>
          <w:rFonts w:ascii="Tahoma" w:eastAsia="Tahoma" w:hAnsi="Tahoma" w:cs="Tahoma"/>
          <w:color w:val="000000" w:themeColor="text1"/>
          <w:kern w:val="24"/>
          <w:sz w:val="20"/>
          <w:szCs w:val="20"/>
          <w:lang w:val="el-GR" w:eastAsia="el-GR"/>
        </w:rPr>
        <w:t>06</w:t>
      </w:r>
      <w:r w:rsidRPr="00157980">
        <w:rPr>
          <w:rFonts w:ascii="Tahoma" w:eastAsia="Tahoma" w:hAnsi="Tahoma" w:cs="Tahoma"/>
          <w:color w:val="000000" w:themeColor="text1"/>
          <w:kern w:val="24"/>
          <w:sz w:val="20"/>
          <w:szCs w:val="20"/>
          <w:lang w:val="el-GR" w:eastAsia="el-GR"/>
        </w:rPr>
        <w:t>.20</w:t>
      </w:r>
      <w:r>
        <w:rPr>
          <w:rFonts w:ascii="Tahoma" w:eastAsia="Tahoma" w:hAnsi="Tahoma" w:cs="Tahoma"/>
          <w:color w:val="000000" w:themeColor="text1"/>
          <w:kern w:val="24"/>
          <w:sz w:val="20"/>
          <w:szCs w:val="20"/>
          <w:lang w:val="el-GR" w:eastAsia="el-GR"/>
        </w:rPr>
        <w:t>20</w:t>
      </w:r>
      <w:r w:rsidRPr="00157980">
        <w:rPr>
          <w:rFonts w:ascii="Tahoma" w:eastAsia="Tahoma" w:hAnsi="Tahoma" w:cs="Tahoma"/>
          <w:color w:val="000000" w:themeColor="text1"/>
          <w:kern w:val="24"/>
          <w:sz w:val="20"/>
          <w:szCs w:val="20"/>
          <w:lang w:val="el-GR" w:eastAsia="el-GR"/>
        </w:rPr>
        <w:t xml:space="preserve"> να προτείνει στη Γενική Συνέλευση την έκδοση επταετούς ομολόγου μειωμένης εξασφάλισης. Η έκδοση θα λάβει χώρα μέσω ιδιωτικής τοποθέτησης και το ομόλογο θα χρησιμοποιηθεί στα εποπτικά κεφάλαια της Τράπεζας ως κεφάλαιο κατηγορίας 2. </w:t>
      </w:r>
    </w:p>
    <w:p w14:paraId="3536BCC9" w14:textId="77777777" w:rsidR="009D3B5A" w:rsidRDefault="009D3B5A" w:rsidP="009D3B5A">
      <w:pPr>
        <w:spacing w:before="360" w:after="0" w:line="216" w:lineRule="auto"/>
        <w:ind w:left="72"/>
        <w:jc w:val="both"/>
        <w:rPr>
          <w:rFonts w:ascii="Tahoma" w:eastAsia="Tahoma" w:hAnsi="Tahoma" w:cs="Tahoma"/>
          <w:color w:val="000000" w:themeColor="text1"/>
          <w:kern w:val="24"/>
          <w:sz w:val="20"/>
          <w:szCs w:val="20"/>
          <w:lang w:val="el-GR" w:eastAsia="el-GR"/>
        </w:rPr>
      </w:pPr>
      <w:r w:rsidRPr="00157980">
        <w:rPr>
          <w:rFonts w:ascii="Tahoma" w:eastAsia="Tahoma" w:hAnsi="Tahoma" w:cs="Tahoma"/>
          <w:color w:val="000000" w:themeColor="text1"/>
          <w:kern w:val="24"/>
          <w:sz w:val="20"/>
          <w:szCs w:val="20"/>
          <w:lang w:val="el-GR" w:eastAsia="el-GR"/>
        </w:rPr>
        <w:t xml:space="preserve">Οι λόγοι που επιβάλουν την αύξηση είναι οι εξής: </w:t>
      </w:r>
    </w:p>
    <w:p w14:paraId="0FF535E0" w14:textId="77777777" w:rsidR="009D3B5A" w:rsidRPr="00157980" w:rsidRDefault="009D3B5A" w:rsidP="009D3B5A">
      <w:pPr>
        <w:spacing w:before="360" w:after="0" w:line="216" w:lineRule="auto"/>
        <w:ind w:left="72"/>
        <w:jc w:val="both"/>
        <w:rPr>
          <w:rFonts w:ascii="Tahoma" w:eastAsia="Times New Roman" w:hAnsi="Tahoma" w:cs="Tahoma"/>
          <w:sz w:val="20"/>
          <w:szCs w:val="20"/>
          <w:lang w:val="el-GR" w:eastAsia="el-GR"/>
        </w:rPr>
      </w:pPr>
    </w:p>
    <w:p w14:paraId="4D209775" w14:textId="77777777" w:rsidR="009D3B5A" w:rsidRPr="00157980" w:rsidRDefault="009D3B5A" w:rsidP="009D3B5A">
      <w:pPr>
        <w:numPr>
          <w:ilvl w:val="0"/>
          <w:numId w:val="8"/>
        </w:numPr>
        <w:spacing w:after="0" w:line="216" w:lineRule="auto"/>
        <w:ind w:left="1152"/>
        <w:contextualSpacing/>
        <w:jc w:val="both"/>
        <w:rPr>
          <w:rFonts w:ascii="Tahoma" w:eastAsia="Times New Roman" w:hAnsi="Tahoma" w:cs="Tahoma"/>
          <w:color w:val="595959"/>
          <w:sz w:val="20"/>
          <w:szCs w:val="20"/>
          <w:lang w:val="el-GR" w:eastAsia="el-GR"/>
        </w:rPr>
      </w:pPr>
      <w:r w:rsidRPr="00157980">
        <w:rPr>
          <w:rFonts w:ascii="Tahoma" w:eastAsia="Tahoma" w:hAnsi="Tahoma" w:cs="Tahoma"/>
          <w:color w:val="000000" w:themeColor="text1"/>
          <w:kern w:val="24"/>
          <w:sz w:val="20"/>
          <w:szCs w:val="20"/>
          <w:lang w:val="el-GR" w:eastAsia="el-GR"/>
        </w:rPr>
        <w:t xml:space="preserve">Διατήρηση του ισχυρού Δείκτη Κεφαλαιακής Επάρκειας της τράπεζας. </w:t>
      </w:r>
    </w:p>
    <w:p w14:paraId="765F4F79" w14:textId="77777777" w:rsidR="009D3B5A" w:rsidRPr="00157980" w:rsidRDefault="009D3B5A" w:rsidP="009D3B5A">
      <w:pPr>
        <w:numPr>
          <w:ilvl w:val="0"/>
          <w:numId w:val="8"/>
        </w:numPr>
        <w:spacing w:after="0" w:line="216" w:lineRule="auto"/>
        <w:ind w:left="1152"/>
        <w:contextualSpacing/>
        <w:jc w:val="both"/>
        <w:rPr>
          <w:rFonts w:ascii="Tahoma" w:eastAsia="Times New Roman" w:hAnsi="Tahoma" w:cs="Tahoma"/>
          <w:color w:val="595959"/>
          <w:sz w:val="20"/>
          <w:szCs w:val="20"/>
          <w:lang w:val="el-GR" w:eastAsia="el-GR"/>
        </w:rPr>
      </w:pPr>
      <w:r w:rsidRPr="00157980">
        <w:rPr>
          <w:rFonts w:ascii="Tahoma" w:eastAsia="Tahoma" w:hAnsi="Tahoma" w:cs="Tahoma"/>
          <w:color w:val="000000" w:themeColor="text1"/>
          <w:kern w:val="24"/>
          <w:sz w:val="20"/>
          <w:szCs w:val="20"/>
          <w:lang w:val="el-GR" w:eastAsia="el-GR"/>
        </w:rPr>
        <w:t xml:space="preserve">Κάλυψη των επενδύσεων του επιχειρησιακού σχεδίου 2019-2020. </w:t>
      </w:r>
    </w:p>
    <w:p w14:paraId="4178CB58" w14:textId="77777777" w:rsidR="009D3B5A" w:rsidRPr="00157980" w:rsidRDefault="009D3B5A" w:rsidP="009D3B5A">
      <w:pPr>
        <w:numPr>
          <w:ilvl w:val="0"/>
          <w:numId w:val="8"/>
        </w:numPr>
        <w:spacing w:after="0" w:line="216" w:lineRule="auto"/>
        <w:ind w:left="1152"/>
        <w:contextualSpacing/>
        <w:jc w:val="both"/>
        <w:rPr>
          <w:rFonts w:ascii="Tahoma" w:eastAsia="Times New Roman" w:hAnsi="Tahoma" w:cs="Tahoma"/>
          <w:color w:val="595959"/>
          <w:sz w:val="20"/>
          <w:szCs w:val="20"/>
          <w:lang w:val="el-GR" w:eastAsia="el-GR"/>
        </w:rPr>
      </w:pPr>
      <w:r w:rsidRPr="00157980">
        <w:rPr>
          <w:rFonts w:ascii="Tahoma" w:eastAsia="Tahoma" w:hAnsi="Tahoma" w:cs="Tahoma"/>
          <w:color w:val="000000" w:themeColor="text1"/>
          <w:kern w:val="24"/>
          <w:sz w:val="20"/>
          <w:szCs w:val="20"/>
          <w:lang w:val="el-GR" w:eastAsia="el-GR"/>
        </w:rPr>
        <w:t xml:space="preserve">Ισχυροποίηση της τράπεζας σύμφωνα με τις απαιτήσεις του ισχύοντος Θεσμικού Πλαισίου και των Κανόνων Εποπτείας. </w:t>
      </w:r>
    </w:p>
    <w:p w14:paraId="521DC882" w14:textId="77777777" w:rsidR="009D3B5A" w:rsidRPr="00157980" w:rsidRDefault="009D3B5A" w:rsidP="009D3B5A">
      <w:pPr>
        <w:numPr>
          <w:ilvl w:val="0"/>
          <w:numId w:val="8"/>
        </w:numPr>
        <w:spacing w:after="0" w:line="216" w:lineRule="auto"/>
        <w:ind w:left="1152"/>
        <w:contextualSpacing/>
        <w:jc w:val="both"/>
        <w:rPr>
          <w:rFonts w:ascii="Tahoma" w:eastAsia="Times New Roman" w:hAnsi="Tahoma" w:cs="Tahoma"/>
          <w:color w:val="595959"/>
          <w:sz w:val="20"/>
          <w:szCs w:val="20"/>
          <w:lang w:val="el-GR" w:eastAsia="el-GR"/>
        </w:rPr>
      </w:pPr>
      <w:r w:rsidRPr="00157980">
        <w:rPr>
          <w:rFonts w:ascii="Tahoma" w:eastAsia="Tahoma" w:hAnsi="Tahoma" w:cs="Tahoma"/>
          <w:color w:val="000000" w:themeColor="text1"/>
          <w:kern w:val="24"/>
          <w:sz w:val="20"/>
          <w:szCs w:val="20"/>
          <w:lang w:val="el-GR" w:eastAsia="el-GR"/>
        </w:rPr>
        <w:t xml:space="preserve">Επαρκής χρηματοδότηση επιχειρήσεων και νοικοκυριών. </w:t>
      </w:r>
    </w:p>
    <w:p w14:paraId="5BA1FF63" w14:textId="77777777" w:rsidR="009D3B5A" w:rsidRPr="00157980" w:rsidRDefault="009D3B5A" w:rsidP="009D3B5A">
      <w:pPr>
        <w:numPr>
          <w:ilvl w:val="0"/>
          <w:numId w:val="8"/>
        </w:numPr>
        <w:spacing w:after="0" w:line="216" w:lineRule="auto"/>
        <w:ind w:left="1152"/>
        <w:contextualSpacing/>
        <w:jc w:val="both"/>
        <w:rPr>
          <w:rFonts w:ascii="Tahoma" w:eastAsia="Times New Roman" w:hAnsi="Tahoma" w:cs="Tahoma"/>
          <w:color w:val="595959"/>
          <w:sz w:val="20"/>
          <w:szCs w:val="20"/>
          <w:lang w:val="el-GR" w:eastAsia="el-GR"/>
        </w:rPr>
      </w:pPr>
      <w:r w:rsidRPr="00157980">
        <w:rPr>
          <w:rFonts w:ascii="Tahoma" w:eastAsia="Tahoma" w:hAnsi="Tahoma" w:cs="Tahoma"/>
          <w:color w:val="000000" w:themeColor="text1"/>
          <w:kern w:val="24"/>
          <w:sz w:val="20"/>
          <w:szCs w:val="20"/>
          <w:lang w:val="el-GR" w:eastAsia="el-GR"/>
        </w:rPr>
        <w:t>Βελτίωση κερδοφορίας της τράπεζας</w:t>
      </w:r>
    </w:p>
    <w:p w14:paraId="70CF62D6" w14:textId="77777777" w:rsidR="009D3B5A" w:rsidRPr="00157980" w:rsidRDefault="009D3B5A" w:rsidP="009D3B5A">
      <w:pPr>
        <w:spacing w:after="0" w:line="216" w:lineRule="auto"/>
        <w:contextualSpacing/>
        <w:jc w:val="both"/>
        <w:rPr>
          <w:rFonts w:ascii="Tahoma" w:eastAsia="Times New Roman" w:hAnsi="Tahoma" w:cs="Tahoma"/>
          <w:color w:val="595959"/>
          <w:sz w:val="20"/>
          <w:szCs w:val="20"/>
          <w:lang w:val="el-GR" w:eastAsia="el-GR"/>
        </w:rPr>
      </w:pPr>
    </w:p>
    <w:p w14:paraId="5F0F9ED5" w14:textId="77777777" w:rsidR="009D3B5A" w:rsidRPr="007D702A" w:rsidRDefault="009D3B5A" w:rsidP="009D3B5A">
      <w:pPr>
        <w:spacing w:after="0" w:line="216" w:lineRule="auto"/>
        <w:contextualSpacing/>
        <w:jc w:val="both"/>
        <w:rPr>
          <w:rFonts w:ascii="Tahoma" w:eastAsia="Times New Roman" w:hAnsi="Tahoma" w:cs="Tahoma"/>
          <w:sz w:val="20"/>
          <w:szCs w:val="20"/>
          <w:lang w:val="el-GR" w:eastAsia="el-GR"/>
        </w:rPr>
      </w:pPr>
      <w:r w:rsidRPr="007D702A">
        <w:rPr>
          <w:rFonts w:ascii="Tahoma" w:eastAsia="Times New Roman" w:hAnsi="Tahoma" w:cs="Tahoma"/>
          <w:sz w:val="20"/>
          <w:szCs w:val="20"/>
          <w:lang w:val="el-GR" w:eastAsia="el-GR"/>
        </w:rPr>
        <w:t>Τα χαρακτηριστικά του ομολόγου είναι τα εξής:</w:t>
      </w:r>
    </w:p>
    <w:p w14:paraId="754D2B37" w14:textId="77777777" w:rsidR="009D3B5A" w:rsidRPr="00157980" w:rsidRDefault="009D3B5A" w:rsidP="009D3B5A">
      <w:pPr>
        <w:spacing w:after="0" w:line="216" w:lineRule="auto"/>
        <w:contextualSpacing/>
        <w:jc w:val="both"/>
        <w:rPr>
          <w:rFonts w:ascii="Tahoma" w:eastAsia="Times New Roman" w:hAnsi="Tahoma" w:cs="Tahoma"/>
          <w:sz w:val="20"/>
          <w:szCs w:val="20"/>
          <w:lang w:val="el-GR" w:eastAsia="el-GR"/>
        </w:rPr>
      </w:pPr>
    </w:p>
    <w:p w14:paraId="2C7FD504" w14:textId="77777777" w:rsidR="009D3B5A" w:rsidRPr="00157980" w:rsidRDefault="009D3B5A" w:rsidP="009D3B5A">
      <w:pPr>
        <w:numPr>
          <w:ilvl w:val="0"/>
          <w:numId w:val="9"/>
        </w:numPr>
        <w:spacing w:after="0" w:line="216" w:lineRule="auto"/>
        <w:contextualSpacing/>
        <w:jc w:val="both"/>
        <w:rPr>
          <w:rFonts w:ascii="Tahoma" w:eastAsia="Times New Roman" w:hAnsi="Tahoma" w:cs="Tahoma"/>
          <w:sz w:val="20"/>
          <w:szCs w:val="20"/>
          <w:lang w:val="el-GR" w:eastAsia="el-GR"/>
        </w:rPr>
      </w:pPr>
      <w:r w:rsidRPr="00157980">
        <w:rPr>
          <w:rFonts w:ascii="Tahoma" w:eastAsia="Times New Roman" w:hAnsi="Tahoma" w:cs="Tahoma"/>
          <w:sz w:val="20"/>
          <w:szCs w:val="20"/>
          <w:lang w:val="el-GR" w:eastAsia="el-GR"/>
        </w:rPr>
        <w:t>Είδος Ομολόγου:</w:t>
      </w:r>
      <w:r w:rsidRPr="00157980">
        <w:rPr>
          <w:rFonts w:ascii="Tahoma" w:eastAsia="Times New Roman" w:hAnsi="Tahoma" w:cs="Tahoma"/>
          <w:sz w:val="20"/>
          <w:szCs w:val="20"/>
          <w:lang w:val="el-GR" w:eastAsia="el-GR"/>
        </w:rPr>
        <w:tab/>
      </w:r>
      <w:r w:rsidRPr="00157980">
        <w:rPr>
          <w:rFonts w:ascii="Tahoma" w:eastAsia="Times New Roman" w:hAnsi="Tahoma" w:cs="Tahoma"/>
          <w:sz w:val="20"/>
          <w:szCs w:val="20"/>
          <w:lang w:val="el-GR" w:eastAsia="el-GR"/>
        </w:rPr>
        <w:tab/>
        <w:t xml:space="preserve">Μειωμένης εξασφάλισης (χρήση ως κεφάλαιο </w:t>
      </w:r>
    </w:p>
    <w:p w14:paraId="3F1BD3FE" w14:textId="77777777" w:rsidR="009D3B5A" w:rsidRPr="00157980" w:rsidRDefault="009D3B5A" w:rsidP="009D3B5A">
      <w:pPr>
        <w:spacing w:after="0" w:line="216" w:lineRule="auto"/>
        <w:ind w:left="2520" w:firstLine="360"/>
        <w:contextualSpacing/>
        <w:jc w:val="both"/>
        <w:rPr>
          <w:rFonts w:ascii="Tahoma" w:eastAsia="Times New Roman" w:hAnsi="Tahoma" w:cs="Tahoma"/>
          <w:sz w:val="20"/>
          <w:szCs w:val="20"/>
          <w:lang w:val="el-GR" w:eastAsia="el-GR"/>
        </w:rPr>
      </w:pPr>
      <w:r w:rsidRPr="00157980">
        <w:rPr>
          <w:rFonts w:ascii="Tahoma" w:eastAsia="Times New Roman" w:hAnsi="Tahoma" w:cs="Tahoma"/>
          <w:sz w:val="20"/>
          <w:szCs w:val="20"/>
          <w:lang w:val="el-GR" w:eastAsia="el-GR"/>
        </w:rPr>
        <w:t>κατηγορίας 2)</w:t>
      </w:r>
    </w:p>
    <w:p w14:paraId="29A09370" w14:textId="77777777" w:rsidR="009D3B5A" w:rsidRPr="00157980" w:rsidRDefault="009D3B5A" w:rsidP="009D3B5A">
      <w:pPr>
        <w:spacing w:after="0" w:line="216" w:lineRule="auto"/>
        <w:ind w:left="2520" w:firstLine="360"/>
        <w:contextualSpacing/>
        <w:jc w:val="both"/>
        <w:rPr>
          <w:rFonts w:ascii="Tahoma" w:eastAsia="Times New Roman" w:hAnsi="Tahoma" w:cs="Tahoma"/>
          <w:sz w:val="20"/>
          <w:szCs w:val="20"/>
          <w:lang w:val="el-GR" w:eastAsia="el-GR"/>
        </w:rPr>
      </w:pPr>
    </w:p>
    <w:p w14:paraId="1044F333" w14:textId="77777777" w:rsidR="009D3B5A" w:rsidRPr="00157980" w:rsidRDefault="009D3B5A" w:rsidP="009D3B5A">
      <w:pPr>
        <w:numPr>
          <w:ilvl w:val="0"/>
          <w:numId w:val="9"/>
        </w:numPr>
        <w:spacing w:after="0" w:line="216" w:lineRule="auto"/>
        <w:contextualSpacing/>
        <w:jc w:val="both"/>
        <w:rPr>
          <w:rFonts w:ascii="Tahoma" w:eastAsia="Times New Roman" w:hAnsi="Tahoma" w:cs="Tahoma"/>
          <w:sz w:val="20"/>
          <w:szCs w:val="20"/>
          <w:lang w:val="el-GR" w:eastAsia="el-GR"/>
        </w:rPr>
      </w:pPr>
      <w:r w:rsidRPr="00157980">
        <w:rPr>
          <w:rFonts w:ascii="Tahoma" w:eastAsia="Times New Roman" w:hAnsi="Tahoma" w:cs="Tahoma"/>
          <w:sz w:val="20"/>
          <w:szCs w:val="20"/>
          <w:lang w:val="el-GR" w:eastAsia="el-GR"/>
        </w:rPr>
        <w:t xml:space="preserve">Ποσό ομολόγου: </w:t>
      </w:r>
      <w:r w:rsidRPr="00157980">
        <w:rPr>
          <w:rFonts w:ascii="Tahoma" w:eastAsia="Times New Roman" w:hAnsi="Tahoma" w:cs="Tahoma"/>
          <w:sz w:val="20"/>
          <w:szCs w:val="20"/>
          <w:lang w:val="el-GR" w:eastAsia="el-GR"/>
        </w:rPr>
        <w:tab/>
      </w:r>
      <w:r>
        <w:rPr>
          <w:rFonts w:ascii="Tahoma" w:eastAsia="Times New Roman" w:hAnsi="Tahoma" w:cs="Tahoma"/>
          <w:sz w:val="20"/>
          <w:szCs w:val="20"/>
          <w:lang w:val="el-GR" w:eastAsia="el-GR"/>
        </w:rPr>
        <w:tab/>
      </w:r>
      <w:r w:rsidRPr="00157980">
        <w:rPr>
          <w:rFonts w:ascii="Tahoma" w:eastAsia="Times New Roman" w:hAnsi="Tahoma" w:cs="Tahoma"/>
          <w:sz w:val="20"/>
          <w:szCs w:val="20"/>
          <w:lang w:val="el-GR" w:eastAsia="el-GR"/>
        </w:rPr>
        <w:t xml:space="preserve">Έως 4.000.000 ευρώ. Σε περίπτωση υπερκάλυψης το </w:t>
      </w:r>
    </w:p>
    <w:p w14:paraId="4032B841" w14:textId="77777777" w:rsidR="009D3B5A" w:rsidRPr="00157980" w:rsidRDefault="009D3B5A" w:rsidP="009D3B5A">
      <w:pPr>
        <w:spacing w:after="0" w:line="216" w:lineRule="auto"/>
        <w:ind w:left="2520" w:firstLine="360"/>
        <w:contextualSpacing/>
        <w:jc w:val="both"/>
        <w:rPr>
          <w:rFonts w:ascii="Tahoma" w:eastAsia="Times New Roman" w:hAnsi="Tahoma" w:cs="Tahoma"/>
          <w:sz w:val="20"/>
          <w:szCs w:val="20"/>
          <w:lang w:val="el-GR" w:eastAsia="el-GR"/>
        </w:rPr>
      </w:pPr>
      <w:r w:rsidRPr="00157980">
        <w:rPr>
          <w:rFonts w:ascii="Tahoma" w:eastAsia="Times New Roman" w:hAnsi="Tahoma" w:cs="Tahoma"/>
          <w:sz w:val="20"/>
          <w:szCs w:val="20"/>
          <w:lang w:val="el-GR" w:eastAsia="el-GR"/>
        </w:rPr>
        <w:t>επιπλέον ποσό να είναι αποδεκτό.</w:t>
      </w:r>
    </w:p>
    <w:p w14:paraId="74D36F73" w14:textId="77777777" w:rsidR="009D3B5A" w:rsidRPr="00157980" w:rsidRDefault="009D3B5A" w:rsidP="009D3B5A">
      <w:pPr>
        <w:spacing w:after="0" w:line="216" w:lineRule="auto"/>
        <w:ind w:left="2520" w:firstLine="360"/>
        <w:contextualSpacing/>
        <w:jc w:val="both"/>
        <w:rPr>
          <w:rFonts w:ascii="Tahoma" w:eastAsia="Times New Roman" w:hAnsi="Tahoma" w:cs="Tahoma"/>
          <w:sz w:val="20"/>
          <w:szCs w:val="20"/>
          <w:lang w:val="el-GR" w:eastAsia="el-GR"/>
        </w:rPr>
      </w:pPr>
    </w:p>
    <w:p w14:paraId="6E6786CF" w14:textId="77777777" w:rsidR="009D3B5A" w:rsidRPr="00157980" w:rsidRDefault="009D3B5A" w:rsidP="009D3B5A">
      <w:pPr>
        <w:numPr>
          <w:ilvl w:val="0"/>
          <w:numId w:val="9"/>
        </w:numPr>
        <w:spacing w:after="0" w:line="216" w:lineRule="auto"/>
        <w:contextualSpacing/>
        <w:jc w:val="both"/>
        <w:rPr>
          <w:rFonts w:ascii="Tahoma" w:eastAsia="Times New Roman" w:hAnsi="Tahoma" w:cs="Tahoma"/>
          <w:sz w:val="20"/>
          <w:szCs w:val="20"/>
          <w:lang w:val="el-GR" w:eastAsia="el-GR"/>
        </w:rPr>
      </w:pPr>
      <w:r w:rsidRPr="00157980">
        <w:rPr>
          <w:rFonts w:ascii="Tahoma" w:eastAsia="Times New Roman" w:hAnsi="Tahoma" w:cs="Tahoma"/>
          <w:sz w:val="20"/>
          <w:szCs w:val="20"/>
          <w:lang w:val="el-GR" w:eastAsia="el-GR"/>
        </w:rPr>
        <w:t>Διάρκεια:</w:t>
      </w:r>
      <w:r w:rsidRPr="00157980">
        <w:rPr>
          <w:rFonts w:ascii="Tahoma" w:eastAsia="Times New Roman" w:hAnsi="Tahoma" w:cs="Tahoma"/>
          <w:sz w:val="20"/>
          <w:szCs w:val="20"/>
          <w:lang w:val="el-GR" w:eastAsia="el-GR"/>
        </w:rPr>
        <w:tab/>
      </w:r>
      <w:r w:rsidRPr="00157980">
        <w:rPr>
          <w:rFonts w:ascii="Tahoma" w:eastAsia="Times New Roman" w:hAnsi="Tahoma" w:cs="Tahoma"/>
          <w:sz w:val="20"/>
          <w:szCs w:val="20"/>
          <w:lang w:val="el-GR" w:eastAsia="el-GR"/>
        </w:rPr>
        <w:tab/>
      </w:r>
      <w:r w:rsidRPr="00157980">
        <w:rPr>
          <w:rFonts w:ascii="Tahoma" w:eastAsia="Times New Roman" w:hAnsi="Tahoma" w:cs="Tahoma"/>
          <w:sz w:val="20"/>
          <w:szCs w:val="20"/>
          <w:lang w:val="el-GR" w:eastAsia="el-GR"/>
        </w:rPr>
        <w:tab/>
        <w:t>Επτά (7) έτη</w:t>
      </w:r>
    </w:p>
    <w:p w14:paraId="14ABB31B" w14:textId="77777777" w:rsidR="009D3B5A" w:rsidRPr="00157980" w:rsidRDefault="009D3B5A" w:rsidP="009D3B5A">
      <w:pPr>
        <w:spacing w:after="0" w:line="216" w:lineRule="auto"/>
        <w:ind w:left="360"/>
        <w:contextualSpacing/>
        <w:jc w:val="both"/>
        <w:rPr>
          <w:rFonts w:ascii="Tahoma" w:eastAsia="Times New Roman" w:hAnsi="Tahoma" w:cs="Tahoma"/>
          <w:sz w:val="20"/>
          <w:szCs w:val="20"/>
          <w:lang w:val="el-GR" w:eastAsia="el-GR"/>
        </w:rPr>
      </w:pPr>
    </w:p>
    <w:p w14:paraId="1A02C8AF" w14:textId="77777777" w:rsidR="009D3B5A" w:rsidRPr="00157980" w:rsidRDefault="009D3B5A" w:rsidP="009D3B5A">
      <w:pPr>
        <w:numPr>
          <w:ilvl w:val="0"/>
          <w:numId w:val="9"/>
        </w:numPr>
        <w:spacing w:after="0" w:line="216" w:lineRule="auto"/>
        <w:contextualSpacing/>
        <w:jc w:val="both"/>
        <w:rPr>
          <w:rFonts w:ascii="Tahoma" w:eastAsia="Times New Roman" w:hAnsi="Tahoma" w:cs="Tahoma"/>
          <w:sz w:val="20"/>
          <w:szCs w:val="20"/>
          <w:lang w:val="el-GR" w:eastAsia="el-GR"/>
        </w:rPr>
      </w:pPr>
      <w:r w:rsidRPr="00157980">
        <w:rPr>
          <w:rFonts w:ascii="Tahoma" w:eastAsia="Times New Roman" w:hAnsi="Tahoma" w:cs="Tahoma"/>
          <w:sz w:val="20"/>
          <w:szCs w:val="20"/>
          <w:lang w:val="el-GR" w:eastAsia="el-GR"/>
        </w:rPr>
        <w:t>Εκτοκισμός:</w:t>
      </w:r>
      <w:r w:rsidRPr="00157980">
        <w:rPr>
          <w:rFonts w:ascii="Tahoma" w:eastAsia="Times New Roman" w:hAnsi="Tahoma" w:cs="Tahoma"/>
          <w:sz w:val="20"/>
          <w:szCs w:val="20"/>
          <w:lang w:val="el-GR" w:eastAsia="el-GR"/>
        </w:rPr>
        <w:tab/>
      </w:r>
      <w:r w:rsidRPr="00157980">
        <w:rPr>
          <w:rFonts w:ascii="Tahoma" w:eastAsia="Times New Roman" w:hAnsi="Tahoma" w:cs="Tahoma"/>
          <w:sz w:val="20"/>
          <w:szCs w:val="20"/>
          <w:lang w:val="el-GR" w:eastAsia="el-GR"/>
        </w:rPr>
        <w:tab/>
      </w:r>
      <w:r>
        <w:rPr>
          <w:rFonts w:ascii="Tahoma" w:eastAsia="Times New Roman" w:hAnsi="Tahoma" w:cs="Tahoma"/>
          <w:sz w:val="20"/>
          <w:szCs w:val="20"/>
          <w:lang w:val="el-GR" w:eastAsia="el-GR"/>
        </w:rPr>
        <w:tab/>
      </w:r>
      <w:r w:rsidRPr="00157980">
        <w:rPr>
          <w:rFonts w:ascii="Tahoma" w:eastAsia="Times New Roman" w:hAnsi="Tahoma" w:cs="Tahoma"/>
          <w:sz w:val="20"/>
          <w:szCs w:val="20"/>
          <w:lang w:val="el-GR" w:eastAsia="el-GR"/>
        </w:rPr>
        <w:t>Κάθε εξάμηνο</w:t>
      </w:r>
    </w:p>
    <w:p w14:paraId="77D9AC0D" w14:textId="77777777" w:rsidR="009D3B5A" w:rsidRPr="00157980" w:rsidRDefault="009D3B5A" w:rsidP="009D3B5A">
      <w:pPr>
        <w:spacing w:after="0" w:line="216" w:lineRule="auto"/>
        <w:contextualSpacing/>
        <w:jc w:val="both"/>
        <w:rPr>
          <w:rFonts w:ascii="Tahoma" w:eastAsia="Times New Roman" w:hAnsi="Tahoma" w:cs="Tahoma"/>
          <w:sz w:val="20"/>
          <w:szCs w:val="20"/>
          <w:lang w:val="el-GR" w:eastAsia="el-GR"/>
        </w:rPr>
      </w:pPr>
    </w:p>
    <w:p w14:paraId="74AA5DB0" w14:textId="77777777" w:rsidR="009D3B5A" w:rsidRPr="00157980" w:rsidRDefault="009D3B5A" w:rsidP="009D3B5A">
      <w:pPr>
        <w:numPr>
          <w:ilvl w:val="0"/>
          <w:numId w:val="9"/>
        </w:numPr>
        <w:spacing w:after="0" w:line="216" w:lineRule="auto"/>
        <w:contextualSpacing/>
        <w:jc w:val="both"/>
        <w:rPr>
          <w:rFonts w:ascii="Tahoma" w:eastAsia="Times New Roman" w:hAnsi="Tahoma" w:cs="Tahoma"/>
          <w:sz w:val="20"/>
          <w:szCs w:val="20"/>
          <w:lang w:val="el-GR" w:eastAsia="el-GR"/>
        </w:rPr>
      </w:pPr>
      <w:r w:rsidRPr="00157980">
        <w:rPr>
          <w:rFonts w:ascii="Tahoma" w:eastAsia="Times New Roman" w:hAnsi="Tahoma" w:cs="Tahoma"/>
          <w:sz w:val="20"/>
          <w:szCs w:val="20"/>
          <w:lang w:val="el-GR" w:eastAsia="el-GR"/>
        </w:rPr>
        <w:t>Επιτόκιο:</w:t>
      </w:r>
      <w:r w:rsidRPr="00157980">
        <w:rPr>
          <w:rFonts w:ascii="Tahoma" w:eastAsia="Times New Roman" w:hAnsi="Tahoma" w:cs="Tahoma"/>
          <w:sz w:val="20"/>
          <w:szCs w:val="20"/>
          <w:lang w:val="el-GR" w:eastAsia="el-GR"/>
        </w:rPr>
        <w:tab/>
      </w:r>
      <w:r w:rsidRPr="00157980">
        <w:rPr>
          <w:rFonts w:ascii="Tahoma" w:eastAsia="Times New Roman" w:hAnsi="Tahoma" w:cs="Tahoma"/>
          <w:sz w:val="20"/>
          <w:szCs w:val="20"/>
          <w:lang w:val="el-GR" w:eastAsia="el-GR"/>
        </w:rPr>
        <w:tab/>
      </w:r>
      <w:r w:rsidRPr="00157980">
        <w:rPr>
          <w:rFonts w:ascii="Tahoma" w:eastAsia="Times New Roman" w:hAnsi="Tahoma" w:cs="Tahoma"/>
          <w:sz w:val="20"/>
          <w:szCs w:val="20"/>
          <w:lang w:val="el-GR" w:eastAsia="el-GR"/>
        </w:rPr>
        <w:tab/>
      </w:r>
    </w:p>
    <w:p w14:paraId="46D92997" w14:textId="77777777" w:rsidR="009D3B5A" w:rsidRPr="00157980" w:rsidRDefault="009D3B5A" w:rsidP="009D3B5A">
      <w:pPr>
        <w:spacing w:after="0" w:line="216" w:lineRule="auto"/>
        <w:contextualSpacing/>
        <w:jc w:val="both"/>
        <w:rPr>
          <w:rFonts w:ascii="Tahoma" w:eastAsia="Times New Roman" w:hAnsi="Tahoma" w:cs="Tahoma"/>
          <w:sz w:val="20"/>
          <w:szCs w:val="20"/>
          <w:lang w:val="el-GR" w:eastAsia="el-GR"/>
        </w:rPr>
      </w:pPr>
    </w:p>
    <w:p w14:paraId="141D5B0D" w14:textId="77777777" w:rsidR="009D3B5A" w:rsidRPr="00157980" w:rsidRDefault="009D3B5A" w:rsidP="009D3B5A">
      <w:pPr>
        <w:numPr>
          <w:ilvl w:val="0"/>
          <w:numId w:val="9"/>
        </w:numPr>
        <w:spacing w:after="0" w:line="216" w:lineRule="auto"/>
        <w:contextualSpacing/>
        <w:jc w:val="both"/>
        <w:rPr>
          <w:rFonts w:ascii="Tahoma" w:eastAsia="Times New Roman" w:hAnsi="Tahoma" w:cs="Tahoma"/>
          <w:sz w:val="20"/>
          <w:szCs w:val="20"/>
          <w:lang w:val="el-GR" w:eastAsia="el-GR"/>
        </w:rPr>
      </w:pPr>
      <w:r w:rsidRPr="00157980">
        <w:rPr>
          <w:rFonts w:ascii="Tahoma" w:eastAsia="Times New Roman" w:hAnsi="Tahoma" w:cs="Tahoma"/>
          <w:sz w:val="20"/>
          <w:szCs w:val="20"/>
          <w:lang w:val="el-GR" w:eastAsia="el-GR"/>
        </w:rPr>
        <w:t>Πολλαπλότητα τίτλου:</w:t>
      </w:r>
      <w:r w:rsidRPr="00157980">
        <w:rPr>
          <w:rFonts w:ascii="Tahoma" w:eastAsia="Times New Roman" w:hAnsi="Tahoma" w:cs="Tahoma"/>
          <w:sz w:val="20"/>
          <w:szCs w:val="20"/>
          <w:lang w:val="el-GR" w:eastAsia="el-GR"/>
        </w:rPr>
        <w:tab/>
        <w:t>Είκοσι (20) χιλιάδες ευρώ</w:t>
      </w:r>
    </w:p>
    <w:p w14:paraId="453AC95B" w14:textId="77777777" w:rsidR="009D3B5A" w:rsidRPr="00157980" w:rsidRDefault="009D3B5A" w:rsidP="009D3B5A">
      <w:pPr>
        <w:spacing w:after="0" w:line="216" w:lineRule="auto"/>
        <w:contextualSpacing/>
        <w:jc w:val="both"/>
        <w:rPr>
          <w:rFonts w:ascii="Tahoma" w:eastAsia="Times New Roman" w:hAnsi="Tahoma" w:cs="Tahoma"/>
          <w:sz w:val="20"/>
          <w:szCs w:val="20"/>
          <w:lang w:val="el-GR" w:eastAsia="el-GR"/>
        </w:rPr>
      </w:pPr>
    </w:p>
    <w:p w14:paraId="7B4B7468" w14:textId="77777777" w:rsidR="009D3B5A" w:rsidRPr="00157980" w:rsidRDefault="009D3B5A" w:rsidP="009D3B5A">
      <w:pPr>
        <w:numPr>
          <w:ilvl w:val="0"/>
          <w:numId w:val="9"/>
        </w:numPr>
        <w:spacing w:after="0" w:line="216" w:lineRule="auto"/>
        <w:contextualSpacing/>
        <w:jc w:val="both"/>
        <w:rPr>
          <w:rFonts w:ascii="Tahoma" w:eastAsia="Times New Roman" w:hAnsi="Tahoma" w:cs="Tahoma"/>
          <w:sz w:val="20"/>
          <w:szCs w:val="20"/>
          <w:lang w:val="el-GR" w:eastAsia="el-GR"/>
        </w:rPr>
      </w:pPr>
      <w:r w:rsidRPr="00157980">
        <w:rPr>
          <w:rFonts w:ascii="Tahoma" w:eastAsia="Times New Roman" w:hAnsi="Tahoma" w:cs="Tahoma"/>
          <w:sz w:val="20"/>
          <w:szCs w:val="20"/>
          <w:lang w:val="el-GR" w:eastAsia="el-GR"/>
        </w:rPr>
        <w:t>Πρόωρη εξόφληση:</w:t>
      </w:r>
      <w:r w:rsidRPr="00157980">
        <w:rPr>
          <w:rFonts w:ascii="Tahoma" w:eastAsia="Times New Roman" w:hAnsi="Tahoma" w:cs="Tahoma"/>
          <w:sz w:val="20"/>
          <w:szCs w:val="20"/>
          <w:lang w:val="el-GR" w:eastAsia="el-GR"/>
        </w:rPr>
        <w:tab/>
      </w:r>
      <w:r>
        <w:rPr>
          <w:rFonts w:ascii="Tahoma" w:eastAsia="Times New Roman" w:hAnsi="Tahoma" w:cs="Tahoma"/>
          <w:sz w:val="20"/>
          <w:szCs w:val="20"/>
          <w:lang w:val="el-GR" w:eastAsia="el-GR"/>
        </w:rPr>
        <w:tab/>
      </w:r>
      <w:r w:rsidRPr="00157980">
        <w:rPr>
          <w:rFonts w:ascii="Tahoma" w:eastAsia="Times New Roman" w:hAnsi="Tahoma" w:cs="Tahoma"/>
          <w:sz w:val="20"/>
          <w:szCs w:val="20"/>
          <w:lang w:val="el-GR" w:eastAsia="el-GR"/>
        </w:rPr>
        <w:t xml:space="preserve">Μόνο στη ευχέρεια της Τράπεζας και σε περίπτωση που </w:t>
      </w:r>
    </w:p>
    <w:p w14:paraId="18BDBD82" w14:textId="77777777" w:rsidR="009D3B5A" w:rsidRPr="00157980" w:rsidRDefault="009D3B5A" w:rsidP="009D3B5A">
      <w:pPr>
        <w:spacing w:after="0" w:line="216" w:lineRule="auto"/>
        <w:ind w:left="2160" w:firstLine="720"/>
        <w:contextualSpacing/>
        <w:jc w:val="both"/>
        <w:rPr>
          <w:rFonts w:ascii="Tahoma" w:eastAsia="Times New Roman" w:hAnsi="Tahoma" w:cs="Tahoma"/>
          <w:sz w:val="20"/>
          <w:szCs w:val="20"/>
          <w:lang w:val="el-GR" w:eastAsia="el-GR"/>
        </w:rPr>
      </w:pPr>
      <w:r w:rsidRPr="00157980">
        <w:rPr>
          <w:rFonts w:ascii="Tahoma" w:eastAsia="Times New Roman" w:hAnsi="Tahoma" w:cs="Tahoma"/>
          <w:sz w:val="20"/>
          <w:szCs w:val="20"/>
          <w:lang w:val="el-GR" w:eastAsia="el-GR"/>
        </w:rPr>
        <w:t xml:space="preserve">πληρούνται οι διατάξεις των άρθρων 77 και 78 του </w:t>
      </w:r>
    </w:p>
    <w:p w14:paraId="421BE44A" w14:textId="77777777" w:rsidR="009D3B5A" w:rsidRPr="00157980" w:rsidRDefault="009D3B5A" w:rsidP="009D3B5A">
      <w:pPr>
        <w:spacing w:after="0" w:line="216" w:lineRule="auto"/>
        <w:ind w:left="2160" w:firstLine="720"/>
        <w:contextualSpacing/>
        <w:jc w:val="both"/>
        <w:rPr>
          <w:rFonts w:ascii="Tahoma" w:eastAsia="Times New Roman" w:hAnsi="Tahoma" w:cs="Tahoma"/>
          <w:sz w:val="20"/>
          <w:szCs w:val="20"/>
          <w:lang w:val="el-GR" w:eastAsia="el-GR"/>
        </w:rPr>
      </w:pPr>
      <w:r w:rsidRPr="00157980">
        <w:rPr>
          <w:rFonts w:ascii="Tahoma" w:eastAsia="Times New Roman" w:hAnsi="Tahoma" w:cs="Tahoma"/>
          <w:sz w:val="20"/>
          <w:szCs w:val="20"/>
          <w:lang w:val="el-GR" w:eastAsia="el-GR"/>
        </w:rPr>
        <w:t>Κανονισμού ΕΕ 575/2013.</w:t>
      </w:r>
    </w:p>
    <w:p w14:paraId="4311D056" w14:textId="77777777" w:rsidR="009D3B5A" w:rsidRPr="00157980" w:rsidRDefault="009D3B5A" w:rsidP="009D3B5A">
      <w:pPr>
        <w:spacing w:after="0" w:line="216" w:lineRule="auto"/>
        <w:ind w:left="720"/>
        <w:contextualSpacing/>
        <w:jc w:val="both"/>
        <w:rPr>
          <w:rFonts w:ascii="Tahoma" w:eastAsia="Times New Roman" w:hAnsi="Tahoma" w:cs="Tahoma"/>
          <w:sz w:val="20"/>
          <w:szCs w:val="20"/>
          <w:lang w:val="el-GR" w:eastAsia="el-GR"/>
        </w:rPr>
      </w:pPr>
    </w:p>
    <w:p w14:paraId="1D724AD6" w14:textId="77777777" w:rsidR="009D3B5A" w:rsidRPr="00157980" w:rsidRDefault="009D3B5A" w:rsidP="009D3B5A">
      <w:pPr>
        <w:spacing w:after="0" w:line="216" w:lineRule="auto"/>
        <w:contextualSpacing/>
        <w:jc w:val="both"/>
        <w:rPr>
          <w:rFonts w:ascii="Tahoma" w:eastAsia="Times New Roman" w:hAnsi="Tahoma" w:cs="Tahoma"/>
          <w:sz w:val="20"/>
          <w:szCs w:val="20"/>
          <w:lang w:val="el-GR" w:eastAsia="el-GR"/>
        </w:rPr>
      </w:pPr>
      <w:r w:rsidRPr="00157980">
        <w:rPr>
          <w:rFonts w:ascii="Tahoma" w:eastAsia="Times New Roman" w:hAnsi="Tahoma" w:cs="Tahoma"/>
          <w:sz w:val="20"/>
          <w:szCs w:val="20"/>
          <w:lang w:val="el-GR" w:eastAsia="el-GR"/>
        </w:rPr>
        <w:t xml:space="preserve">Επίσης το Διοικητικό Συμβούλιο, ζητά από τη Γενική Συνέλευση την παροχή εξουσιοδοτήσεων, για τον περαιτέρω χειρισμό του όλου θέματος και την υλοποίηση της απόφασης αυτής με δικαίωμα καθορισμού του επιτοκίου, καθώς και των οποιωνδήποτε διαδικασιών, όρων και προϋποθέσεων απαιτούνται και σχετίζονται με την έκδοση και διάθεση των ομολόγων. </w:t>
      </w:r>
    </w:p>
    <w:p w14:paraId="44ADB42E" w14:textId="77777777" w:rsidR="009D3B5A" w:rsidRPr="00157980" w:rsidRDefault="009D3B5A" w:rsidP="009D3B5A">
      <w:pPr>
        <w:spacing w:after="0" w:line="216" w:lineRule="auto"/>
        <w:contextualSpacing/>
        <w:jc w:val="both"/>
        <w:rPr>
          <w:rFonts w:ascii="Tahoma" w:eastAsia="Times New Roman" w:hAnsi="Tahoma" w:cs="Tahoma"/>
          <w:sz w:val="20"/>
          <w:szCs w:val="20"/>
          <w:lang w:val="el-GR" w:eastAsia="el-GR"/>
        </w:rPr>
      </w:pPr>
    </w:p>
    <w:p w14:paraId="56E62AA4" w14:textId="77777777" w:rsidR="009D3B5A" w:rsidRPr="00157980" w:rsidRDefault="009D3B5A" w:rsidP="009D3B5A">
      <w:pPr>
        <w:spacing w:after="0" w:line="216" w:lineRule="auto"/>
        <w:contextualSpacing/>
        <w:jc w:val="both"/>
        <w:rPr>
          <w:rFonts w:ascii="Tahoma" w:eastAsia="Times New Roman" w:hAnsi="Tahoma" w:cs="Tahoma"/>
          <w:sz w:val="20"/>
          <w:szCs w:val="20"/>
          <w:lang w:val="el-GR" w:eastAsia="el-GR"/>
        </w:rPr>
      </w:pPr>
    </w:p>
    <w:p w14:paraId="56FEBEED" w14:textId="77777777" w:rsidR="009D3B5A" w:rsidRPr="008F4F67" w:rsidRDefault="009D3B5A" w:rsidP="009D3B5A">
      <w:pPr>
        <w:spacing w:after="0" w:line="216" w:lineRule="auto"/>
        <w:contextualSpacing/>
        <w:jc w:val="both"/>
        <w:rPr>
          <w:rFonts w:ascii="Tahoma" w:eastAsia="Times New Roman" w:hAnsi="Tahoma" w:cs="Tahoma"/>
          <w:b/>
          <w:bCs/>
          <w:sz w:val="20"/>
          <w:szCs w:val="20"/>
          <w:lang w:val="el-GR" w:eastAsia="el-GR"/>
        </w:rPr>
      </w:pPr>
      <w:r w:rsidRPr="008F4F67">
        <w:rPr>
          <w:rFonts w:ascii="Tahoma" w:eastAsia="Times New Roman" w:hAnsi="Tahoma" w:cs="Tahoma"/>
          <w:b/>
          <w:bCs/>
          <w:sz w:val="20"/>
          <w:szCs w:val="20"/>
          <w:lang w:val="el-GR" w:eastAsia="el-GR"/>
        </w:rPr>
        <w:t>Έγκριση όρων ομολόγου μετατρέψιμου υπό όρους σε εταιρικές μερίδες αορίστου διάρκειας</w:t>
      </w:r>
    </w:p>
    <w:p w14:paraId="05EF72C7" w14:textId="77777777" w:rsidR="009D3B5A" w:rsidRPr="00157980" w:rsidRDefault="009D3B5A" w:rsidP="009D3B5A">
      <w:pPr>
        <w:spacing w:after="0" w:line="216" w:lineRule="auto"/>
        <w:contextualSpacing/>
        <w:jc w:val="both"/>
        <w:rPr>
          <w:rFonts w:ascii="Tahoma" w:eastAsia="Times New Roman" w:hAnsi="Tahoma" w:cs="Tahoma"/>
          <w:sz w:val="20"/>
          <w:szCs w:val="20"/>
          <w:lang w:val="el-GR" w:eastAsia="el-GR"/>
        </w:rPr>
      </w:pPr>
    </w:p>
    <w:p w14:paraId="4E12E641" w14:textId="77777777" w:rsidR="009D3B5A" w:rsidRPr="00157980" w:rsidRDefault="009D3B5A" w:rsidP="009D3B5A">
      <w:pPr>
        <w:spacing w:after="0" w:line="216" w:lineRule="auto"/>
        <w:contextualSpacing/>
        <w:jc w:val="both"/>
        <w:rPr>
          <w:rFonts w:ascii="Tahoma" w:eastAsia="Times New Roman" w:hAnsi="Tahoma" w:cs="Tahoma"/>
          <w:sz w:val="20"/>
          <w:szCs w:val="20"/>
          <w:lang w:val="el-GR" w:eastAsia="el-GR"/>
        </w:rPr>
      </w:pPr>
      <w:r w:rsidRPr="00157980">
        <w:rPr>
          <w:rFonts w:ascii="Tahoma" w:eastAsia="Times New Roman" w:hAnsi="Tahoma" w:cs="Tahoma"/>
          <w:sz w:val="20"/>
          <w:szCs w:val="20"/>
          <w:lang w:val="el-GR" w:eastAsia="el-GR"/>
        </w:rPr>
        <w:t xml:space="preserve">Το Διοικητικό Συμβούλιο της Συνεταιριστικής Τράπεζας Θεσσαλίας, αποφάσισε στη συνεδρίαση του υπ’ αριθ. </w:t>
      </w:r>
      <w:r>
        <w:rPr>
          <w:rFonts w:ascii="Tahoma" w:eastAsia="Times New Roman" w:hAnsi="Tahoma" w:cs="Tahoma"/>
          <w:sz w:val="20"/>
          <w:szCs w:val="20"/>
          <w:lang w:val="el-GR" w:eastAsia="el-GR"/>
        </w:rPr>
        <w:t>1015</w:t>
      </w:r>
      <w:r w:rsidRPr="00157980">
        <w:rPr>
          <w:rFonts w:ascii="Tahoma" w:eastAsia="Times New Roman" w:hAnsi="Tahoma" w:cs="Tahoma"/>
          <w:sz w:val="20"/>
          <w:szCs w:val="20"/>
          <w:lang w:val="el-GR" w:eastAsia="el-GR"/>
        </w:rPr>
        <w:t>/</w:t>
      </w:r>
      <w:r>
        <w:rPr>
          <w:rFonts w:ascii="Tahoma" w:eastAsia="Times New Roman" w:hAnsi="Tahoma" w:cs="Tahoma"/>
          <w:sz w:val="20"/>
          <w:szCs w:val="20"/>
          <w:lang w:val="el-GR" w:eastAsia="el-GR"/>
        </w:rPr>
        <w:t>16</w:t>
      </w:r>
      <w:r w:rsidRPr="00157980">
        <w:rPr>
          <w:rFonts w:ascii="Tahoma" w:eastAsia="Times New Roman" w:hAnsi="Tahoma" w:cs="Tahoma"/>
          <w:sz w:val="20"/>
          <w:szCs w:val="20"/>
          <w:lang w:val="el-GR" w:eastAsia="el-GR"/>
        </w:rPr>
        <w:t>.</w:t>
      </w:r>
      <w:r>
        <w:rPr>
          <w:rFonts w:ascii="Tahoma" w:eastAsia="Times New Roman" w:hAnsi="Tahoma" w:cs="Tahoma"/>
          <w:sz w:val="20"/>
          <w:szCs w:val="20"/>
          <w:lang w:val="el-GR" w:eastAsia="el-GR"/>
        </w:rPr>
        <w:t>06</w:t>
      </w:r>
      <w:r w:rsidRPr="00157980">
        <w:rPr>
          <w:rFonts w:ascii="Tahoma" w:eastAsia="Times New Roman" w:hAnsi="Tahoma" w:cs="Tahoma"/>
          <w:sz w:val="20"/>
          <w:szCs w:val="20"/>
          <w:lang w:val="el-GR" w:eastAsia="el-GR"/>
        </w:rPr>
        <w:t>.20</w:t>
      </w:r>
      <w:r>
        <w:rPr>
          <w:rFonts w:ascii="Tahoma" w:eastAsia="Times New Roman" w:hAnsi="Tahoma" w:cs="Tahoma"/>
          <w:sz w:val="20"/>
          <w:szCs w:val="20"/>
          <w:lang w:val="el-GR" w:eastAsia="el-GR"/>
        </w:rPr>
        <w:t>20</w:t>
      </w:r>
      <w:r w:rsidRPr="00157980">
        <w:rPr>
          <w:rFonts w:ascii="Tahoma" w:eastAsia="Times New Roman" w:hAnsi="Tahoma" w:cs="Tahoma"/>
          <w:sz w:val="20"/>
          <w:szCs w:val="20"/>
          <w:lang w:val="el-GR" w:eastAsia="el-GR"/>
        </w:rPr>
        <w:t xml:space="preserve"> να προτείνει στη Γενική Συνέλευση την έκδοση μετατρέψιμου ομολόγου αόριστης διάρκειας Η έκδοση θα λάβει χώρα μέσω ιδιωτικής τοποθέτησης και το ομόλογο θα χρησιμοποιηθεί στα εποπτικά κεφάλαια της Τράπεζας ως πρόσθετο κεφάλαιο κατηγορίας 1. </w:t>
      </w:r>
    </w:p>
    <w:p w14:paraId="46181AAA" w14:textId="77777777" w:rsidR="009D3B5A" w:rsidRPr="00157980" w:rsidRDefault="009D3B5A" w:rsidP="009D3B5A">
      <w:pPr>
        <w:spacing w:after="0" w:line="216" w:lineRule="auto"/>
        <w:contextualSpacing/>
        <w:jc w:val="both"/>
        <w:rPr>
          <w:rFonts w:ascii="Tahoma" w:eastAsia="Times New Roman" w:hAnsi="Tahoma" w:cs="Tahoma"/>
          <w:sz w:val="20"/>
          <w:szCs w:val="20"/>
          <w:lang w:val="el-GR" w:eastAsia="el-GR"/>
        </w:rPr>
      </w:pPr>
    </w:p>
    <w:p w14:paraId="25C3B770" w14:textId="77777777" w:rsidR="009D3B5A" w:rsidRPr="00157980" w:rsidRDefault="009D3B5A" w:rsidP="009D3B5A">
      <w:pPr>
        <w:spacing w:after="0" w:line="216" w:lineRule="auto"/>
        <w:contextualSpacing/>
        <w:jc w:val="both"/>
        <w:rPr>
          <w:rFonts w:ascii="Tahoma" w:eastAsia="Times New Roman" w:hAnsi="Tahoma" w:cs="Tahoma"/>
          <w:sz w:val="20"/>
          <w:szCs w:val="20"/>
          <w:lang w:val="el-GR" w:eastAsia="el-GR"/>
        </w:rPr>
      </w:pPr>
      <w:r w:rsidRPr="00157980">
        <w:rPr>
          <w:rFonts w:ascii="Tahoma" w:eastAsia="Times New Roman" w:hAnsi="Tahoma" w:cs="Tahoma"/>
          <w:sz w:val="20"/>
          <w:szCs w:val="20"/>
          <w:lang w:val="el-GR" w:eastAsia="el-GR"/>
        </w:rPr>
        <w:t xml:space="preserve">Οι λόγοι που επιβάλουν την αύξηση είναι οι εξής: </w:t>
      </w:r>
    </w:p>
    <w:p w14:paraId="606108B2" w14:textId="77777777" w:rsidR="009D3B5A" w:rsidRPr="00157980" w:rsidRDefault="009D3B5A" w:rsidP="009D3B5A">
      <w:pPr>
        <w:numPr>
          <w:ilvl w:val="0"/>
          <w:numId w:val="10"/>
        </w:numPr>
        <w:spacing w:after="0" w:line="216" w:lineRule="auto"/>
        <w:contextualSpacing/>
        <w:jc w:val="both"/>
        <w:rPr>
          <w:rFonts w:ascii="Tahoma" w:eastAsia="Times New Roman" w:hAnsi="Tahoma" w:cs="Tahoma"/>
          <w:sz w:val="20"/>
          <w:szCs w:val="20"/>
          <w:lang w:val="el-GR" w:eastAsia="el-GR"/>
        </w:rPr>
      </w:pPr>
      <w:r w:rsidRPr="00157980">
        <w:rPr>
          <w:rFonts w:ascii="Tahoma" w:eastAsia="Times New Roman" w:hAnsi="Tahoma" w:cs="Tahoma"/>
          <w:sz w:val="20"/>
          <w:szCs w:val="20"/>
          <w:lang w:val="el-GR" w:eastAsia="el-GR"/>
        </w:rPr>
        <w:t xml:space="preserve">Διατήρηση του ισχυρού Δείκτη Κεφαλαιακής Επάρκειας της τράπεζας. </w:t>
      </w:r>
    </w:p>
    <w:p w14:paraId="059779AC" w14:textId="77777777" w:rsidR="009D3B5A" w:rsidRPr="00157980" w:rsidRDefault="009D3B5A" w:rsidP="009D3B5A">
      <w:pPr>
        <w:numPr>
          <w:ilvl w:val="0"/>
          <w:numId w:val="10"/>
        </w:numPr>
        <w:spacing w:after="0" w:line="216" w:lineRule="auto"/>
        <w:contextualSpacing/>
        <w:jc w:val="both"/>
        <w:rPr>
          <w:rFonts w:ascii="Tahoma" w:eastAsia="Times New Roman" w:hAnsi="Tahoma" w:cs="Tahoma"/>
          <w:sz w:val="20"/>
          <w:szCs w:val="20"/>
          <w:lang w:val="el-GR" w:eastAsia="el-GR"/>
        </w:rPr>
      </w:pPr>
      <w:r w:rsidRPr="00157980">
        <w:rPr>
          <w:rFonts w:ascii="Tahoma" w:eastAsia="Times New Roman" w:hAnsi="Tahoma" w:cs="Tahoma"/>
          <w:sz w:val="20"/>
          <w:szCs w:val="20"/>
          <w:lang w:val="el-GR" w:eastAsia="el-GR"/>
        </w:rPr>
        <w:t xml:space="preserve">Κάλυψη των επενδύσεων του επιχειρησιακού σχεδίου 2019-2021. </w:t>
      </w:r>
    </w:p>
    <w:p w14:paraId="1F236945" w14:textId="77777777" w:rsidR="009D3B5A" w:rsidRPr="00157980" w:rsidRDefault="009D3B5A" w:rsidP="009D3B5A">
      <w:pPr>
        <w:numPr>
          <w:ilvl w:val="0"/>
          <w:numId w:val="10"/>
        </w:numPr>
        <w:spacing w:after="0" w:line="216" w:lineRule="auto"/>
        <w:contextualSpacing/>
        <w:jc w:val="both"/>
        <w:rPr>
          <w:rFonts w:ascii="Tahoma" w:eastAsia="Times New Roman" w:hAnsi="Tahoma" w:cs="Tahoma"/>
          <w:sz w:val="20"/>
          <w:szCs w:val="20"/>
          <w:lang w:val="el-GR" w:eastAsia="el-GR"/>
        </w:rPr>
      </w:pPr>
      <w:r w:rsidRPr="00157980">
        <w:rPr>
          <w:rFonts w:ascii="Tahoma" w:eastAsia="Times New Roman" w:hAnsi="Tahoma" w:cs="Tahoma"/>
          <w:sz w:val="20"/>
          <w:szCs w:val="20"/>
          <w:lang w:val="el-GR" w:eastAsia="el-GR"/>
        </w:rPr>
        <w:t xml:space="preserve">Ισχυροποίηση της τράπεζας σύμφωνα με τις απαιτήσεις του ισχύοντος Θεσμικού Πλαισίου και των Κανόνων Εποπτείας. </w:t>
      </w:r>
    </w:p>
    <w:p w14:paraId="2C8A2EDF" w14:textId="77777777" w:rsidR="009D3B5A" w:rsidRPr="00157980" w:rsidRDefault="009D3B5A" w:rsidP="009D3B5A">
      <w:pPr>
        <w:numPr>
          <w:ilvl w:val="0"/>
          <w:numId w:val="10"/>
        </w:numPr>
        <w:spacing w:after="0" w:line="216" w:lineRule="auto"/>
        <w:contextualSpacing/>
        <w:jc w:val="both"/>
        <w:rPr>
          <w:rFonts w:ascii="Tahoma" w:eastAsia="Times New Roman" w:hAnsi="Tahoma" w:cs="Tahoma"/>
          <w:sz w:val="20"/>
          <w:szCs w:val="20"/>
          <w:lang w:val="el-GR" w:eastAsia="el-GR"/>
        </w:rPr>
      </w:pPr>
      <w:r w:rsidRPr="00157980">
        <w:rPr>
          <w:rFonts w:ascii="Tahoma" w:eastAsia="Times New Roman" w:hAnsi="Tahoma" w:cs="Tahoma"/>
          <w:sz w:val="20"/>
          <w:szCs w:val="20"/>
          <w:lang w:val="el-GR" w:eastAsia="el-GR"/>
        </w:rPr>
        <w:t xml:space="preserve">Επαρκής χρηματοδότηση επιχειρήσεων και νοικοκυριών. </w:t>
      </w:r>
    </w:p>
    <w:p w14:paraId="4C34DA55" w14:textId="77777777" w:rsidR="009D3B5A" w:rsidRPr="00157980" w:rsidRDefault="009D3B5A" w:rsidP="009D3B5A">
      <w:pPr>
        <w:numPr>
          <w:ilvl w:val="0"/>
          <w:numId w:val="10"/>
        </w:numPr>
        <w:spacing w:after="0" w:line="216" w:lineRule="auto"/>
        <w:contextualSpacing/>
        <w:jc w:val="both"/>
        <w:rPr>
          <w:rFonts w:ascii="Tahoma" w:eastAsia="Times New Roman" w:hAnsi="Tahoma" w:cs="Tahoma"/>
          <w:sz w:val="20"/>
          <w:szCs w:val="20"/>
          <w:lang w:val="el-GR" w:eastAsia="el-GR"/>
        </w:rPr>
      </w:pPr>
      <w:r w:rsidRPr="00157980">
        <w:rPr>
          <w:rFonts w:ascii="Tahoma" w:eastAsia="Times New Roman" w:hAnsi="Tahoma" w:cs="Tahoma"/>
          <w:sz w:val="20"/>
          <w:szCs w:val="20"/>
          <w:lang w:val="el-GR" w:eastAsia="el-GR"/>
        </w:rPr>
        <w:lastRenderedPageBreak/>
        <w:t>Βελτίωση κερδοφορίας της τράπεζας.</w:t>
      </w:r>
    </w:p>
    <w:p w14:paraId="22A8C6FF" w14:textId="77777777" w:rsidR="009D3B5A" w:rsidRPr="00157980" w:rsidRDefault="009D3B5A" w:rsidP="009D3B5A">
      <w:pPr>
        <w:spacing w:after="0" w:line="216" w:lineRule="auto"/>
        <w:contextualSpacing/>
        <w:jc w:val="both"/>
        <w:rPr>
          <w:rFonts w:ascii="Tahoma" w:eastAsia="Times New Roman" w:hAnsi="Tahoma" w:cs="Tahoma"/>
          <w:color w:val="595959"/>
          <w:sz w:val="20"/>
          <w:szCs w:val="20"/>
          <w:lang w:val="el-GR" w:eastAsia="el-GR"/>
        </w:rPr>
      </w:pPr>
    </w:p>
    <w:p w14:paraId="3FE6EF7E" w14:textId="77777777" w:rsidR="009D3B5A" w:rsidRPr="007D702A" w:rsidRDefault="009D3B5A" w:rsidP="009D3B5A">
      <w:pPr>
        <w:spacing w:after="0" w:line="216" w:lineRule="auto"/>
        <w:contextualSpacing/>
        <w:jc w:val="both"/>
        <w:rPr>
          <w:rFonts w:ascii="Tahoma" w:eastAsia="Times New Roman" w:hAnsi="Tahoma" w:cs="Tahoma"/>
          <w:bCs/>
          <w:sz w:val="20"/>
          <w:szCs w:val="20"/>
          <w:lang w:val="el-GR" w:eastAsia="el-GR"/>
        </w:rPr>
      </w:pPr>
      <w:r w:rsidRPr="007D702A">
        <w:rPr>
          <w:rFonts w:ascii="Tahoma" w:eastAsia="Times New Roman" w:hAnsi="Tahoma" w:cs="Tahoma"/>
          <w:bCs/>
          <w:sz w:val="20"/>
          <w:szCs w:val="20"/>
          <w:lang w:val="el-GR" w:eastAsia="el-GR"/>
        </w:rPr>
        <w:t>Τα χαρακτηριστικά του ομολόγου είναι τα εξής:</w:t>
      </w:r>
    </w:p>
    <w:p w14:paraId="197E79DC" w14:textId="77777777" w:rsidR="009D3B5A" w:rsidRPr="00157980" w:rsidRDefault="009D3B5A" w:rsidP="009D3B5A">
      <w:pPr>
        <w:spacing w:after="0" w:line="216" w:lineRule="auto"/>
        <w:contextualSpacing/>
        <w:jc w:val="both"/>
        <w:rPr>
          <w:rFonts w:ascii="Tahoma" w:eastAsia="Times New Roman" w:hAnsi="Tahoma" w:cs="Tahoma"/>
          <w:sz w:val="20"/>
          <w:szCs w:val="20"/>
          <w:lang w:val="el-GR" w:eastAsia="el-GR"/>
        </w:rPr>
      </w:pPr>
    </w:p>
    <w:p w14:paraId="2415B288" w14:textId="77777777" w:rsidR="009D3B5A" w:rsidRPr="007D702A" w:rsidRDefault="009D3B5A" w:rsidP="009D3B5A">
      <w:pPr>
        <w:pStyle w:val="a9"/>
        <w:numPr>
          <w:ilvl w:val="0"/>
          <w:numId w:val="11"/>
        </w:numPr>
        <w:spacing w:after="0" w:line="216" w:lineRule="auto"/>
        <w:jc w:val="both"/>
        <w:rPr>
          <w:rFonts w:ascii="Tahoma" w:eastAsia="Times New Roman" w:hAnsi="Tahoma" w:cs="Tahoma"/>
          <w:sz w:val="20"/>
          <w:szCs w:val="20"/>
          <w:lang w:val="el-GR" w:eastAsia="el-GR"/>
        </w:rPr>
      </w:pPr>
      <w:r w:rsidRPr="007D702A">
        <w:rPr>
          <w:rFonts w:ascii="Tahoma" w:eastAsia="Times New Roman" w:hAnsi="Tahoma" w:cs="Tahoma"/>
          <w:sz w:val="20"/>
          <w:szCs w:val="20"/>
          <w:lang w:val="el-GR" w:eastAsia="el-GR"/>
        </w:rPr>
        <w:t>Είδος Ομολόγου:</w:t>
      </w:r>
      <w:r w:rsidRPr="007D702A">
        <w:rPr>
          <w:rFonts w:ascii="Tahoma" w:eastAsia="Times New Roman" w:hAnsi="Tahoma" w:cs="Tahoma"/>
          <w:sz w:val="20"/>
          <w:szCs w:val="20"/>
          <w:lang w:val="el-GR" w:eastAsia="el-GR"/>
        </w:rPr>
        <w:tab/>
      </w:r>
      <w:r w:rsidRPr="007D702A">
        <w:rPr>
          <w:rFonts w:ascii="Tahoma" w:eastAsia="Times New Roman" w:hAnsi="Tahoma" w:cs="Tahoma"/>
          <w:sz w:val="20"/>
          <w:szCs w:val="20"/>
          <w:lang w:val="el-GR" w:eastAsia="el-GR"/>
        </w:rPr>
        <w:tab/>
      </w:r>
      <w:r w:rsidRPr="007D702A">
        <w:rPr>
          <w:rFonts w:ascii="Tahoma" w:eastAsia="Times New Roman" w:hAnsi="Tahoma" w:cs="Tahoma"/>
          <w:sz w:val="20"/>
          <w:szCs w:val="20"/>
          <w:lang w:val="el-GR" w:eastAsia="el-GR"/>
        </w:rPr>
        <w:tab/>
        <w:t xml:space="preserve">Μετατρέψιμο υπό κάποιες προϋποθέσεις </w:t>
      </w:r>
    </w:p>
    <w:p w14:paraId="6F6EDB6D" w14:textId="77777777" w:rsidR="009D3B5A" w:rsidRPr="00157980" w:rsidRDefault="009D3B5A" w:rsidP="009D3B5A">
      <w:pPr>
        <w:pStyle w:val="a9"/>
        <w:spacing w:after="0" w:line="216" w:lineRule="auto"/>
        <w:ind w:left="3600" w:firstLine="720"/>
        <w:jc w:val="both"/>
        <w:rPr>
          <w:rFonts w:ascii="Tahoma" w:eastAsia="Times New Roman" w:hAnsi="Tahoma" w:cs="Tahoma"/>
          <w:sz w:val="20"/>
          <w:szCs w:val="20"/>
          <w:lang w:val="el-GR" w:eastAsia="el-GR"/>
        </w:rPr>
      </w:pPr>
      <w:r w:rsidRPr="00157980">
        <w:rPr>
          <w:rFonts w:ascii="Tahoma" w:eastAsia="Times New Roman" w:hAnsi="Tahoma" w:cs="Tahoma"/>
          <w:sz w:val="20"/>
          <w:szCs w:val="20"/>
          <w:lang w:val="el-GR" w:eastAsia="el-GR"/>
        </w:rPr>
        <w:t xml:space="preserve">σε συνεταιριστικές μερίδες (χρήση ως </w:t>
      </w:r>
    </w:p>
    <w:p w14:paraId="0AE4E481" w14:textId="77777777" w:rsidR="009D3B5A" w:rsidRPr="00157980" w:rsidRDefault="009D3B5A" w:rsidP="009D3B5A">
      <w:pPr>
        <w:pStyle w:val="a9"/>
        <w:spacing w:after="0" w:line="216" w:lineRule="auto"/>
        <w:ind w:left="3600" w:firstLine="720"/>
        <w:jc w:val="both"/>
        <w:rPr>
          <w:rFonts w:ascii="Tahoma" w:eastAsia="Times New Roman" w:hAnsi="Tahoma" w:cs="Tahoma"/>
          <w:sz w:val="20"/>
          <w:szCs w:val="20"/>
          <w:lang w:val="el-GR" w:eastAsia="el-GR"/>
        </w:rPr>
      </w:pPr>
      <w:r w:rsidRPr="00157980">
        <w:rPr>
          <w:rFonts w:ascii="Tahoma" w:eastAsia="Times New Roman" w:hAnsi="Tahoma" w:cs="Tahoma"/>
          <w:sz w:val="20"/>
          <w:szCs w:val="20"/>
          <w:lang w:val="el-GR" w:eastAsia="el-GR"/>
        </w:rPr>
        <w:t>πρόσθετο</w:t>
      </w:r>
      <w:r w:rsidRPr="00157980">
        <w:rPr>
          <w:rFonts w:ascii="Tahoma" w:eastAsia="Times New Roman" w:hAnsi="Tahoma" w:cs="Tahoma"/>
          <w:sz w:val="20"/>
          <w:szCs w:val="20"/>
          <w:lang w:val="el-GR" w:eastAsia="el-GR"/>
        </w:rPr>
        <w:tab/>
        <w:t>κεφάλαιο κατηγορίας 1)</w:t>
      </w:r>
    </w:p>
    <w:p w14:paraId="0A1EDEBE" w14:textId="77777777" w:rsidR="009D3B5A" w:rsidRPr="00157980" w:rsidRDefault="009D3B5A" w:rsidP="009D3B5A">
      <w:pPr>
        <w:pStyle w:val="a9"/>
        <w:spacing w:after="0" w:line="216" w:lineRule="auto"/>
        <w:ind w:left="3600" w:firstLine="720"/>
        <w:jc w:val="both"/>
        <w:rPr>
          <w:rFonts w:ascii="Tahoma" w:eastAsia="Times New Roman" w:hAnsi="Tahoma" w:cs="Tahoma"/>
          <w:sz w:val="20"/>
          <w:szCs w:val="20"/>
          <w:lang w:val="el-GR" w:eastAsia="el-GR"/>
        </w:rPr>
      </w:pPr>
    </w:p>
    <w:p w14:paraId="5D53C323" w14:textId="77777777" w:rsidR="009D3B5A" w:rsidRPr="007D702A" w:rsidRDefault="009D3B5A" w:rsidP="009D3B5A">
      <w:pPr>
        <w:pStyle w:val="a9"/>
        <w:numPr>
          <w:ilvl w:val="0"/>
          <w:numId w:val="11"/>
        </w:numPr>
        <w:spacing w:after="0" w:line="216" w:lineRule="auto"/>
        <w:jc w:val="both"/>
        <w:rPr>
          <w:rFonts w:ascii="Tahoma" w:eastAsia="Times New Roman" w:hAnsi="Tahoma" w:cs="Tahoma"/>
          <w:sz w:val="20"/>
          <w:szCs w:val="20"/>
          <w:lang w:val="el-GR" w:eastAsia="el-GR"/>
        </w:rPr>
      </w:pPr>
      <w:r w:rsidRPr="007D702A">
        <w:rPr>
          <w:rFonts w:ascii="Tahoma" w:eastAsia="Times New Roman" w:hAnsi="Tahoma" w:cs="Tahoma"/>
          <w:sz w:val="20"/>
          <w:szCs w:val="20"/>
          <w:lang w:val="el-GR" w:eastAsia="el-GR"/>
        </w:rPr>
        <w:t xml:space="preserve">Προϋποθέσεις μετατροπής: </w:t>
      </w:r>
      <w:r w:rsidRPr="007D702A">
        <w:rPr>
          <w:rFonts w:ascii="Tahoma" w:eastAsia="Times New Roman" w:hAnsi="Tahoma" w:cs="Tahoma"/>
          <w:sz w:val="20"/>
          <w:szCs w:val="20"/>
          <w:lang w:val="el-GR" w:eastAsia="el-GR"/>
        </w:rPr>
        <w:tab/>
      </w:r>
      <w:r w:rsidRPr="007D702A">
        <w:rPr>
          <w:rFonts w:ascii="Tahoma" w:eastAsia="Times New Roman" w:hAnsi="Tahoma" w:cs="Tahoma"/>
          <w:sz w:val="20"/>
          <w:szCs w:val="20"/>
          <w:lang w:val="el-GR" w:eastAsia="el-GR"/>
        </w:rPr>
        <w:tab/>
        <w:t xml:space="preserve">α) Σε περίπτωση που τα κεφάλαια κοινών </w:t>
      </w:r>
    </w:p>
    <w:p w14:paraId="717204AE" w14:textId="77777777" w:rsidR="009D3B5A" w:rsidRPr="00157980" w:rsidRDefault="009D3B5A" w:rsidP="009D3B5A">
      <w:pPr>
        <w:spacing w:after="0" w:line="216" w:lineRule="auto"/>
        <w:ind w:left="3600" w:firstLine="720"/>
        <w:contextualSpacing/>
        <w:jc w:val="both"/>
        <w:rPr>
          <w:rFonts w:ascii="Tahoma" w:eastAsia="Times New Roman" w:hAnsi="Tahoma" w:cs="Tahoma"/>
          <w:sz w:val="20"/>
          <w:szCs w:val="20"/>
          <w:lang w:val="el-GR" w:eastAsia="el-GR"/>
        </w:rPr>
      </w:pPr>
      <w:r w:rsidRPr="00157980">
        <w:rPr>
          <w:rFonts w:ascii="Tahoma" w:eastAsia="Times New Roman" w:hAnsi="Tahoma" w:cs="Tahoma"/>
          <w:sz w:val="20"/>
          <w:szCs w:val="20"/>
          <w:lang w:val="el-GR" w:eastAsia="el-GR"/>
        </w:rPr>
        <w:t xml:space="preserve">μετοχών της Τράπεζας μειωθούν κάτω </w:t>
      </w:r>
    </w:p>
    <w:p w14:paraId="3E2A87CA" w14:textId="77777777" w:rsidR="009D3B5A" w:rsidRPr="00157980" w:rsidRDefault="009D3B5A" w:rsidP="009D3B5A">
      <w:pPr>
        <w:spacing w:after="0" w:line="216" w:lineRule="auto"/>
        <w:ind w:left="3600" w:firstLine="720"/>
        <w:contextualSpacing/>
        <w:jc w:val="both"/>
        <w:rPr>
          <w:rFonts w:ascii="Tahoma" w:eastAsia="Times New Roman" w:hAnsi="Tahoma" w:cs="Tahoma"/>
          <w:sz w:val="20"/>
          <w:szCs w:val="20"/>
          <w:lang w:val="el-GR" w:eastAsia="el-GR"/>
        </w:rPr>
      </w:pPr>
      <w:r w:rsidRPr="00157980">
        <w:rPr>
          <w:rFonts w:ascii="Tahoma" w:eastAsia="Times New Roman" w:hAnsi="Tahoma" w:cs="Tahoma"/>
          <w:sz w:val="20"/>
          <w:szCs w:val="20"/>
          <w:lang w:val="el-GR" w:eastAsia="el-GR"/>
        </w:rPr>
        <w:t xml:space="preserve">από το όριο του 5,125% ή το ελάχιστο </w:t>
      </w:r>
    </w:p>
    <w:p w14:paraId="00A81E8A" w14:textId="77777777" w:rsidR="009D3B5A" w:rsidRPr="00157980" w:rsidRDefault="009D3B5A" w:rsidP="009D3B5A">
      <w:pPr>
        <w:spacing w:after="0" w:line="216" w:lineRule="auto"/>
        <w:ind w:left="4320"/>
        <w:contextualSpacing/>
        <w:jc w:val="both"/>
        <w:rPr>
          <w:rFonts w:ascii="Tahoma" w:eastAsia="Times New Roman" w:hAnsi="Tahoma" w:cs="Tahoma"/>
          <w:sz w:val="20"/>
          <w:szCs w:val="20"/>
          <w:lang w:val="el-GR" w:eastAsia="el-GR"/>
        </w:rPr>
      </w:pPr>
      <w:r w:rsidRPr="00157980">
        <w:rPr>
          <w:rFonts w:ascii="Tahoma" w:eastAsia="Times New Roman" w:hAnsi="Tahoma" w:cs="Tahoma"/>
          <w:sz w:val="20"/>
          <w:szCs w:val="20"/>
          <w:lang w:val="el-GR" w:eastAsia="el-GR"/>
        </w:rPr>
        <w:t xml:space="preserve">όριο που θα οριστεί από την Τράπεζα της Ελλάδος, </w:t>
      </w:r>
    </w:p>
    <w:p w14:paraId="4CA8328E" w14:textId="77777777" w:rsidR="009D3B5A" w:rsidRPr="00157980" w:rsidRDefault="009D3B5A" w:rsidP="009D3B5A">
      <w:pPr>
        <w:spacing w:after="0" w:line="216" w:lineRule="auto"/>
        <w:contextualSpacing/>
        <w:jc w:val="both"/>
        <w:rPr>
          <w:rFonts w:ascii="Tahoma" w:eastAsia="Times New Roman" w:hAnsi="Tahoma" w:cs="Tahoma"/>
          <w:sz w:val="20"/>
          <w:szCs w:val="20"/>
          <w:lang w:val="el-GR" w:eastAsia="el-GR"/>
        </w:rPr>
      </w:pPr>
      <w:r w:rsidRPr="00157980">
        <w:rPr>
          <w:rFonts w:ascii="Tahoma" w:eastAsia="Times New Roman" w:hAnsi="Tahoma" w:cs="Tahoma"/>
          <w:sz w:val="20"/>
          <w:szCs w:val="20"/>
          <w:lang w:val="el-GR" w:eastAsia="el-GR"/>
        </w:rPr>
        <w:tab/>
      </w:r>
      <w:r w:rsidRPr="00157980">
        <w:rPr>
          <w:rFonts w:ascii="Tahoma" w:eastAsia="Times New Roman" w:hAnsi="Tahoma" w:cs="Tahoma"/>
          <w:sz w:val="20"/>
          <w:szCs w:val="20"/>
          <w:lang w:val="el-GR" w:eastAsia="el-GR"/>
        </w:rPr>
        <w:tab/>
      </w:r>
      <w:r w:rsidRPr="00157980">
        <w:rPr>
          <w:rFonts w:ascii="Tahoma" w:eastAsia="Times New Roman" w:hAnsi="Tahoma" w:cs="Tahoma"/>
          <w:sz w:val="20"/>
          <w:szCs w:val="20"/>
          <w:lang w:val="el-GR" w:eastAsia="el-GR"/>
        </w:rPr>
        <w:tab/>
      </w:r>
      <w:r w:rsidRPr="00157980">
        <w:rPr>
          <w:rFonts w:ascii="Tahoma" w:eastAsia="Times New Roman" w:hAnsi="Tahoma" w:cs="Tahoma"/>
          <w:sz w:val="20"/>
          <w:szCs w:val="20"/>
          <w:lang w:val="el-GR" w:eastAsia="el-GR"/>
        </w:rPr>
        <w:tab/>
      </w:r>
      <w:r w:rsidRPr="00157980">
        <w:rPr>
          <w:rFonts w:ascii="Tahoma" w:eastAsia="Times New Roman" w:hAnsi="Tahoma" w:cs="Tahoma"/>
          <w:sz w:val="20"/>
          <w:szCs w:val="20"/>
          <w:lang w:val="el-GR" w:eastAsia="el-GR"/>
        </w:rPr>
        <w:tab/>
      </w:r>
      <w:r w:rsidRPr="00157980">
        <w:rPr>
          <w:rFonts w:ascii="Tahoma" w:eastAsia="Times New Roman" w:hAnsi="Tahoma" w:cs="Tahoma"/>
          <w:sz w:val="20"/>
          <w:szCs w:val="20"/>
          <w:lang w:val="el-GR" w:eastAsia="el-GR"/>
        </w:rPr>
        <w:tab/>
        <w:t xml:space="preserve">β) σε περίπτωση που η μετατροπή αυτή </w:t>
      </w:r>
    </w:p>
    <w:p w14:paraId="6BA841AF" w14:textId="77777777" w:rsidR="009D3B5A" w:rsidRPr="00157980" w:rsidRDefault="009D3B5A" w:rsidP="009D3B5A">
      <w:pPr>
        <w:spacing w:after="0" w:line="216" w:lineRule="auto"/>
        <w:ind w:left="3600" w:firstLine="720"/>
        <w:contextualSpacing/>
        <w:jc w:val="both"/>
        <w:rPr>
          <w:rFonts w:ascii="Tahoma" w:eastAsia="Times New Roman" w:hAnsi="Tahoma" w:cs="Tahoma"/>
          <w:sz w:val="20"/>
          <w:szCs w:val="20"/>
          <w:lang w:val="el-GR" w:eastAsia="el-GR"/>
        </w:rPr>
      </w:pPr>
      <w:r w:rsidRPr="00157980">
        <w:rPr>
          <w:rFonts w:ascii="Tahoma" w:eastAsia="Times New Roman" w:hAnsi="Tahoma" w:cs="Tahoma"/>
          <w:sz w:val="20"/>
          <w:szCs w:val="20"/>
          <w:lang w:val="el-GR" w:eastAsia="el-GR"/>
        </w:rPr>
        <w:t xml:space="preserve">θα κριθεί απαραίτητη από την Τράπεζα </w:t>
      </w:r>
    </w:p>
    <w:p w14:paraId="30ECC28C" w14:textId="77777777" w:rsidR="009D3B5A" w:rsidRPr="00157980" w:rsidRDefault="009D3B5A" w:rsidP="009D3B5A">
      <w:pPr>
        <w:spacing w:after="0" w:line="216" w:lineRule="auto"/>
        <w:ind w:left="3600" w:firstLine="720"/>
        <w:contextualSpacing/>
        <w:jc w:val="both"/>
        <w:rPr>
          <w:rFonts w:ascii="Tahoma" w:eastAsia="Times New Roman" w:hAnsi="Tahoma" w:cs="Tahoma"/>
          <w:sz w:val="20"/>
          <w:szCs w:val="20"/>
          <w:lang w:val="el-GR" w:eastAsia="el-GR"/>
        </w:rPr>
      </w:pPr>
      <w:r w:rsidRPr="00157980">
        <w:rPr>
          <w:rFonts w:ascii="Tahoma" w:eastAsia="Times New Roman" w:hAnsi="Tahoma" w:cs="Tahoma"/>
          <w:sz w:val="20"/>
          <w:szCs w:val="20"/>
          <w:lang w:val="el-GR" w:eastAsia="el-GR"/>
        </w:rPr>
        <w:t>της Ελλάδος</w:t>
      </w:r>
    </w:p>
    <w:p w14:paraId="05F044F6" w14:textId="77777777" w:rsidR="009D3B5A" w:rsidRPr="00157980" w:rsidRDefault="009D3B5A" w:rsidP="009D3B5A">
      <w:pPr>
        <w:spacing w:after="0" w:line="216" w:lineRule="auto"/>
        <w:ind w:left="3600" w:firstLine="720"/>
        <w:contextualSpacing/>
        <w:jc w:val="both"/>
        <w:rPr>
          <w:rFonts w:ascii="Tahoma" w:eastAsia="Times New Roman" w:hAnsi="Tahoma" w:cs="Tahoma"/>
          <w:sz w:val="20"/>
          <w:szCs w:val="20"/>
          <w:lang w:val="el-GR" w:eastAsia="el-GR"/>
        </w:rPr>
      </w:pPr>
    </w:p>
    <w:p w14:paraId="6D924B82" w14:textId="77777777" w:rsidR="009D3B5A" w:rsidRPr="007D702A" w:rsidRDefault="009D3B5A" w:rsidP="009D3B5A">
      <w:pPr>
        <w:pStyle w:val="a9"/>
        <w:numPr>
          <w:ilvl w:val="0"/>
          <w:numId w:val="11"/>
        </w:numPr>
        <w:spacing w:after="0" w:line="216" w:lineRule="auto"/>
        <w:jc w:val="both"/>
        <w:rPr>
          <w:rFonts w:ascii="Tahoma" w:eastAsia="Times New Roman" w:hAnsi="Tahoma" w:cs="Tahoma"/>
          <w:sz w:val="20"/>
          <w:szCs w:val="20"/>
          <w:lang w:val="el-GR" w:eastAsia="el-GR"/>
        </w:rPr>
      </w:pPr>
      <w:r w:rsidRPr="007D702A">
        <w:rPr>
          <w:rFonts w:ascii="Tahoma" w:eastAsia="Times New Roman" w:hAnsi="Tahoma" w:cs="Tahoma"/>
          <w:sz w:val="20"/>
          <w:szCs w:val="20"/>
          <w:lang w:val="el-GR" w:eastAsia="el-GR"/>
        </w:rPr>
        <w:t xml:space="preserve">Ποσό ομολόγου: </w:t>
      </w:r>
      <w:r w:rsidRPr="007D702A">
        <w:rPr>
          <w:rFonts w:ascii="Tahoma" w:eastAsia="Times New Roman" w:hAnsi="Tahoma" w:cs="Tahoma"/>
          <w:sz w:val="20"/>
          <w:szCs w:val="20"/>
          <w:lang w:val="el-GR" w:eastAsia="el-GR"/>
        </w:rPr>
        <w:tab/>
      </w:r>
      <w:r w:rsidRPr="007D702A">
        <w:rPr>
          <w:rFonts w:ascii="Tahoma" w:eastAsia="Times New Roman" w:hAnsi="Tahoma" w:cs="Tahoma"/>
          <w:sz w:val="20"/>
          <w:szCs w:val="20"/>
          <w:lang w:val="el-GR" w:eastAsia="el-GR"/>
        </w:rPr>
        <w:tab/>
      </w:r>
      <w:r w:rsidRPr="007D702A">
        <w:rPr>
          <w:rFonts w:ascii="Tahoma" w:eastAsia="Times New Roman" w:hAnsi="Tahoma" w:cs="Tahoma"/>
          <w:sz w:val="20"/>
          <w:szCs w:val="20"/>
          <w:lang w:val="el-GR" w:eastAsia="el-GR"/>
        </w:rPr>
        <w:tab/>
        <w:t xml:space="preserve">Έως 1.500.000 ευρώ. Σε περίπτωση </w:t>
      </w:r>
    </w:p>
    <w:p w14:paraId="2067B8A2" w14:textId="77777777" w:rsidR="009D3B5A" w:rsidRPr="00157980" w:rsidRDefault="009D3B5A" w:rsidP="009D3B5A">
      <w:pPr>
        <w:spacing w:after="0" w:line="216" w:lineRule="auto"/>
        <w:ind w:left="3600" w:firstLine="720"/>
        <w:contextualSpacing/>
        <w:jc w:val="both"/>
        <w:rPr>
          <w:rFonts w:ascii="Tahoma" w:eastAsia="Times New Roman" w:hAnsi="Tahoma" w:cs="Tahoma"/>
          <w:sz w:val="20"/>
          <w:szCs w:val="20"/>
          <w:lang w:val="el-GR" w:eastAsia="el-GR"/>
        </w:rPr>
      </w:pPr>
      <w:r w:rsidRPr="00157980">
        <w:rPr>
          <w:rFonts w:ascii="Tahoma" w:eastAsia="Times New Roman" w:hAnsi="Tahoma" w:cs="Tahoma"/>
          <w:sz w:val="20"/>
          <w:szCs w:val="20"/>
          <w:lang w:val="el-GR" w:eastAsia="el-GR"/>
        </w:rPr>
        <w:t xml:space="preserve">υπερκάλυψης το επιπλέον ποσό να είναι </w:t>
      </w:r>
    </w:p>
    <w:p w14:paraId="4622E2D0" w14:textId="77777777" w:rsidR="009D3B5A" w:rsidRPr="00157980" w:rsidRDefault="009D3B5A" w:rsidP="009D3B5A">
      <w:pPr>
        <w:spacing w:after="0" w:line="216" w:lineRule="auto"/>
        <w:ind w:left="3600" w:firstLine="720"/>
        <w:contextualSpacing/>
        <w:jc w:val="both"/>
        <w:rPr>
          <w:rFonts w:ascii="Tahoma" w:eastAsia="Times New Roman" w:hAnsi="Tahoma" w:cs="Tahoma"/>
          <w:sz w:val="20"/>
          <w:szCs w:val="20"/>
          <w:lang w:val="el-GR" w:eastAsia="el-GR"/>
        </w:rPr>
      </w:pPr>
      <w:r w:rsidRPr="00157980">
        <w:rPr>
          <w:rFonts w:ascii="Tahoma" w:eastAsia="Times New Roman" w:hAnsi="Tahoma" w:cs="Tahoma"/>
          <w:sz w:val="20"/>
          <w:szCs w:val="20"/>
          <w:lang w:val="el-GR" w:eastAsia="el-GR"/>
        </w:rPr>
        <w:t xml:space="preserve">αποδεκτό μέχρι το ποσό που θα οριστεί </w:t>
      </w:r>
    </w:p>
    <w:p w14:paraId="436415BC" w14:textId="77777777" w:rsidR="009D3B5A" w:rsidRPr="00157980" w:rsidRDefault="009D3B5A" w:rsidP="009D3B5A">
      <w:pPr>
        <w:spacing w:after="0" w:line="216" w:lineRule="auto"/>
        <w:ind w:left="3600" w:firstLine="720"/>
        <w:contextualSpacing/>
        <w:jc w:val="both"/>
        <w:rPr>
          <w:rFonts w:ascii="Tahoma" w:eastAsia="Times New Roman" w:hAnsi="Tahoma" w:cs="Tahoma"/>
          <w:sz w:val="20"/>
          <w:szCs w:val="20"/>
          <w:lang w:val="el-GR" w:eastAsia="el-GR"/>
        </w:rPr>
      </w:pPr>
      <w:r w:rsidRPr="00157980">
        <w:rPr>
          <w:rFonts w:ascii="Tahoma" w:eastAsia="Times New Roman" w:hAnsi="Tahoma" w:cs="Tahoma"/>
          <w:sz w:val="20"/>
          <w:szCs w:val="20"/>
          <w:lang w:val="el-GR" w:eastAsia="el-GR"/>
        </w:rPr>
        <w:t>από το Διοικητικό Συμβούλιο.</w:t>
      </w:r>
    </w:p>
    <w:p w14:paraId="71A2B4C5" w14:textId="77777777" w:rsidR="009D3B5A" w:rsidRPr="00157980" w:rsidRDefault="009D3B5A" w:rsidP="009D3B5A">
      <w:pPr>
        <w:spacing w:after="0" w:line="216" w:lineRule="auto"/>
        <w:ind w:left="3600" w:firstLine="720"/>
        <w:contextualSpacing/>
        <w:jc w:val="both"/>
        <w:rPr>
          <w:rFonts w:ascii="Tahoma" w:eastAsia="Times New Roman" w:hAnsi="Tahoma" w:cs="Tahoma"/>
          <w:sz w:val="20"/>
          <w:szCs w:val="20"/>
          <w:lang w:val="el-GR" w:eastAsia="el-GR"/>
        </w:rPr>
      </w:pPr>
    </w:p>
    <w:p w14:paraId="09FDE3DA" w14:textId="77777777" w:rsidR="009D3B5A" w:rsidRPr="007D702A" w:rsidRDefault="009D3B5A" w:rsidP="009D3B5A">
      <w:pPr>
        <w:pStyle w:val="a9"/>
        <w:numPr>
          <w:ilvl w:val="0"/>
          <w:numId w:val="11"/>
        </w:numPr>
        <w:spacing w:after="0" w:line="216" w:lineRule="auto"/>
        <w:jc w:val="both"/>
        <w:rPr>
          <w:rFonts w:ascii="Tahoma" w:eastAsia="Times New Roman" w:hAnsi="Tahoma" w:cs="Tahoma"/>
          <w:sz w:val="20"/>
          <w:szCs w:val="20"/>
          <w:lang w:val="el-GR" w:eastAsia="el-GR"/>
        </w:rPr>
      </w:pPr>
      <w:r w:rsidRPr="007D702A">
        <w:rPr>
          <w:rFonts w:ascii="Tahoma" w:eastAsia="Times New Roman" w:hAnsi="Tahoma" w:cs="Tahoma"/>
          <w:sz w:val="20"/>
          <w:szCs w:val="20"/>
          <w:lang w:val="el-GR" w:eastAsia="el-GR"/>
        </w:rPr>
        <w:t>Διάρκεια:</w:t>
      </w:r>
      <w:r w:rsidRPr="007D702A">
        <w:rPr>
          <w:rFonts w:ascii="Tahoma" w:eastAsia="Times New Roman" w:hAnsi="Tahoma" w:cs="Tahoma"/>
          <w:sz w:val="20"/>
          <w:szCs w:val="20"/>
          <w:lang w:val="el-GR" w:eastAsia="el-GR"/>
        </w:rPr>
        <w:tab/>
      </w:r>
      <w:r w:rsidRPr="007D702A">
        <w:rPr>
          <w:rFonts w:ascii="Tahoma" w:eastAsia="Times New Roman" w:hAnsi="Tahoma" w:cs="Tahoma"/>
          <w:sz w:val="20"/>
          <w:szCs w:val="20"/>
          <w:lang w:val="el-GR" w:eastAsia="el-GR"/>
        </w:rPr>
        <w:tab/>
      </w:r>
      <w:r w:rsidRPr="007D702A">
        <w:rPr>
          <w:rFonts w:ascii="Tahoma" w:eastAsia="Times New Roman" w:hAnsi="Tahoma" w:cs="Tahoma"/>
          <w:sz w:val="20"/>
          <w:szCs w:val="20"/>
          <w:lang w:val="el-GR" w:eastAsia="el-GR"/>
        </w:rPr>
        <w:tab/>
      </w:r>
      <w:r w:rsidRPr="007D702A">
        <w:rPr>
          <w:rFonts w:ascii="Tahoma" w:eastAsia="Times New Roman" w:hAnsi="Tahoma" w:cs="Tahoma"/>
          <w:sz w:val="20"/>
          <w:szCs w:val="20"/>
          <w:lang w:val="el-GR" w:eastAsia="el-GR"/>
        </w:rPr>
        <w:tab/>
        <w:t>Αόριστη</w:t>
      </w:r>
    </w:p>
    <w:p w14:paraId="6C1AE674" w14:textId="77777777" w:rsidR="009D3B5A" w:rsidRPr="00157980" w:rsidRDefault="009D3B5A" w:rsidP="009D3B5A">
      <w:pPr>
        <w:spacing w:after="0" w:line="216" w:lineRule="auto"/>
        <w:ind w:left="720"/>
        <w:contextualSpacing/>
        <w:jc w:val="both"/>
        <w:rPr>
          <w:rFonts w:ascii="Tahoma" w:eastAsia="Times New Roman" w:hAnsi="Tahoma" w:cs="Tahoma"/>
          <w:sz w:val="20"/>
          <w:szCs w:val="20"/>
          <w:lang w:val="el-GR" w:eastAsia="el-GR"/>
        </w:rPr>
      </w:pPr>
    </w:p>
    <w:p w14:paraId="5F07DC30" w14:textId="77777777" w:rsidR="009D3B5A" w:rsidRPr="007D702A" w:rsidRDefault="009D3B5A" w:rsidP="009D3B5A">
      <w:pPr>
        <w:pStyle w:val="a9"/>
        <w:numPr>
          <w:ilvl w:val="0"/>
          <w:numId w:val="11"/>
        </w:numPr>
        <w:spacing w:after="0" w:line="216" w:lineRule="auto"/>
        <w:jc w:val="both"/>
        <w:rPr>
          <w:rFonts w:ascii="Tahoma" w:eastAsia="Times New Roman" w:hAnsi="Tahoma" w:cs="Tahoma"/>
          <w:sz w:val="20"/>
          <w:szCs w:val="20"/>
          <w:lang w:val="el-GR" w:eastAsia="el-GR"/>
        </w:rPr>
      </w:pPr>
      <w:r w:rsidRPr="007D702A">
        <w:rPr>
          <w:rFonts w:ascii="Tahoma" w:eastAsia="Times New Roman" w:hAnsi="Tahoma" w:cs="Tahoma"/>
          <w:sz w:val="20"/>
          <w:szCs w:val="20"/>
          <w:lang w:val="el-GR" w:eastAsia="el-GR"/>
        </w:rPr>
        <w:t>Εκτοκισμός:</w:t>
      </w:r>
      <w:r w:rsidRPr="007D702A">
        <w:rPr>
          <w:rFonts w:ascii="Tahoma" w:eastAsia="Times New Roman" w:hAnsi="Tahoma" w:cs="Tahoma"/>
          <w:sz w:val="20"/>
          <w:szCs w:val="20"/>
          <w:lang w:val="el-GR" w:eastAsia="el-GR"/>
        </w:rPr>
        <w:tab/>
      </w:r>
      <w:r w:rsidRPr="007D702A">
        <w:rPr>
          <w:rFonts w:ascii="Tahoma" w:eastAsia="Times New Roman" w:hAnsi="Tahoma" w:cs="Tahoma"/>
          <w:sz w:val="20"/>
          <w:szCs w:val="20"/>
          <w:lang w:val="el-GR" w:eastAsia="el-GR"/>
        </w:rPr>
        <w:tab/>
      </w:r>
      <w:r w:rsidRPr="007D702A">
        <w:rPr>
          <w:rFonts w:ascii="Tahoma" w:eastAsia="Times New Roman" w:hAnsi="Tahoma" w:cs="Tahoma"/>
          <w:sz w:val="20"/>
          <w:szCs w:val="20"/>
          <w:lang w:val="el-GR" w:eastAsia="el-GR"/>
        </w:rPr>
        <w:tab/>
      </w:r>
      <w:r w:rsidRPr="007D702A">
        <w:rPr>
          <w:rFonts w:ascii="Tahoma" w:eastAsia="Times New Roman" w:hAnsi="Tahoma" w:cs="Tahoma"/>
          <w:sz w:val="20"/>
          <w:szCs w:val="20"/>
          <w:lang w:val="el-GR" w:eastAsia="el-GR"/>
        </w:rPr>
        <w:tab/>
        <w:t xml:space="preserve">Κάθε εξάμηνο. Η Τράπεζα μπορεί ανά </w:t>
      </w:r>
    </w:p>
    <w:p w14:paraId="4B96F494" w14:textId="77777777" w:rsidR="009D3B5A" w:rsidRPr="00157980" w:rsidRDefault="009D3B5A" w:rsidP="009D3B5A">
      <w:pPr>
        <w:spacing w:after="0" w:line="216" w:lineRule="auto"/>
        <w:ind w:left="3600" w:firstLine="720"/>
        <w:contextualSpacing/>
        <w:jc w:val="both"/>
        <w:rPr>
          <w:rFonts w:ascii="Tahoma" w:eastAsia="Times New Roman" w:hAnsi="Tahoma" w:cs="Tahoma"/>
          <w:sz w:val="20"/>
          <w:szCs w:val="20"/>
          <w:lang w:val="el-GR" w:eastAsia="el-GR"/>
        </w:rPr>
      </w:pPr>
      <w:r w:rsidRPr="00157980">
        <w:rPr>
          <w:rFonts w:ascii="Tahoma" w:eastAsia="Times New Roman" w:hAnsi="Tahoma" w:cs="Tahoma"/>
          <w:sz w:val="20"/>
          <w:szCs w:val="20"/>
          <w:lang w:val="el-GR" w:eastAsia="el-GR"/>
        </w:rPr>
        <w:t xml:space="preserve">πάσα στιγμή να μην καταβάλει τόκους για </w:t>
      </w:r>
    </w:p>
    <w:p w14:paraId="7931B51E" w14:textId="77777777" w:rsidR="009D3B5A" w:rsidRPr="00157980" w:rsidRDefault="009D3B5A" w:rsidP="009D3B5A">
      <w:pPr>
        <w:spacing w:after="0" w:line="216" w:lineRule="auto"/>
        <w:ind w:left="4320"/>
        <w:contextualSpacing/>
        <w:jc w:val="both"/>
        <w:rPr>
          <w:rFonts w:ascii="Tahoma" w:eastAsia="Times New Roman" w:hAnsi="Tahoma" w:cs="Tahoma"/>
          <w:sz w:val="20"/>
          <w:szCs w:val="20"/>
          <w:lang w:val="el-GR" w:eastAsia="el-GR"/>
        </w:rPr>
      </w:pPr>
      <w:r w:rsidRPr="00157980">
        <w:rPr>
          <w:rFonts w:ascii="Tahoma" w:eastAsia="Times New Roman" w:hAnsi="Tahoma" w:cs="Tahoma"/>
          <w:sz w:val="20"/>
          <w:szCs w:val="20"/>
          <w:lang w:val="el-GR" w:eastAsia="el-GR"/>
        </w:rPr>
        <w:t>απεριόριστο χρονικό διάστ</w:t>
      </w:r>
      <w:r>
        <w:rPr>
          <w:rFonts w:ascii="Tahoma" w:eastAsia="Times New Roman" w:hAnsi="Tahoma" w:cs="Tahoma"/>
          <w:sz w:val="20"/>
          <w:szCs w:val="20"/>
          <w:lang w:val="el-GR" w:eastAsia="el-GR"/>
        </w:rPr>
        <w:t xml:space="preserve">ημα και </w:t>
      </w:r>
      <w:r w:rsidRPr="00157980">
        <w:rPr>
          <w:rFonts w:ascii="Tahoma" w:eastAsia="Times New Roman" w:hAnsi="Tahoma" w:cs="Tahoma"/>
          <w:sz w:val="20"/>
          <w:szCs w:val="20"/>
          <w:lang w:val="el-GR" w:eastAsia="el-GR"/>
        </w:rPr>
        <w:t xml:space="preserve">η μη καταβολή αυτή δεν θα συνιστά αθέτηση υποχρεώσεων της Τράπεζας για </w:t>
      </w:r>
      <w:r>
        <w:rPr>
          <w:rFonts w:ascii="Tahoma" w:eastAsia="Times New Roman" w:hAnsi="Tahoma" w:cs="Tahoma"/>
          <w:sz w:val="20"/>
          <w:szCs w:val="20"/>
          <w:lang w:val="el-GR" w:eastAsia="el-GR"/>
        </w:rPr>
        <w:t xml:space="preserve">την πληρωμή τόκων των Ομολόγων </w:t>
      </w:r>
    </w:p>
    <w:p w14:paraId="02FE3A8F" w14:textId="77777777" w:rsidR="009D3B5A" w:rsidRDefault="009D3B5A" w:rsidP="009D3B5A">
      <w:pPr>
        <w:spacing w:after="0" w:line="216" w:lineRule="auto"/>
        <w:ind w:left="4320"/>
        <w:contextualSpacing/>
        <w:jc w:val="both"/>
        <w:rPr>
          <w:rFonts w:ascii="Tahoma" w:eastAsia="Times New Roman" w:hAnsi="Tahoma" w:cs="Tahoma"/>
          <w:sz w:val="20"/>
          <w:szCs w:val="20"/>
          <w:lang w:val="el-GR" w:eastAsia="el-GR"/>
        </w:rPr>
      </w:pPr>
      <w:r w:rsidRPr="00157980">
        <w:rPr>
          <w:rFonts w:ascii="Tahoma" w:eastAsia="Times New Roman" w:hAnsi="Tahoma" w:cs="Tahoma"/>
          <w:sz w:val="20"/>
          <w:szCs w:val="20"/>
          <w:lang w:val="el-GR" w:eastAsia="el-GR"/>
        </w:rPr>
        <w:t>των παρόντων όρων.</w:t>
      </w:r>
    </w:p>
    <w:p w14:paraId="6E1940C2" w14:textId="77777777" w:rsidR="009D3B5A" w:rsidRPr="00157980" w:rsidRDefault="009D3B5A" w:rsidP="009D3B5A">
      <w:pPr>
        <w:spacing w:after="0" w:line="216" w:lineRule="auto"/>
        <w:ind w:left="4320"/>
        <w:contextualSpacing/>
        <w:jc w:val="both"/>
        <w:rPr>
          <w:rFonts w:ascii="Tahoma" w:eastAsia="Times New Roman" w:hAnsi="Tahoma" w:cs="Tahoma"/>
          <w:sz w:val="20"/>
          <w:szCs w:val="20"/>
          <w:lang w:val="el-GR" w:eastAsia="el-GR"/>
        </w:rPr>
      </w:pPr>
    </w:p>
    <w:p w14:paraId="59D65740" w14:textId="77777777" w:rsidR="009D3B5A" w:rsidRPr="007D702A" w:rsidRDefault="009D3B5A" w:rsidP="009D3B5A">
      <w:pPr>
        <w:pStyle w:val="a9"/>
        <w:numPr>
          <w:ilvl w:val="0"/>
          <w:numId w:val="12"/>
        </w:numPr>
        <w:spacing w:after="0" w:line="216" w:lineRule="auto"/>
        <w:jc w:val="both"/>
        <w:rPr>
          <w:rFonts w:ascii="Tahoma" w:eastAsia="Times New Roman" w:hAnsi="Tahoma" w:cs="Tahoma"/>
          <w:sz w:val="20"/>
          <w:szCs w:val="20"/>
          <w:lang w:val="el-GR" w:eastAsia="el-GR"/>
        </w:rPr>
      </w:pPr>
      <w:r w:rsidRPr="007D702A">
        <w:rPr>
          <w:rFonts w:ascii="Tahoma" w:eastAsia="Times New Roman" w:hAnsi="Tahoma" w:cs="Tahoma"/>
          <w:sz w:val="20"/>
          <w:szCs w:val="20"/>
          <w:lang w:val="el-GR" w:eastAsia="el-GR"/>
        </w:rPr>
        <w:t>Επιτόκιο:</w:t>
      </w:r>
      <w:r w:rsidRPr="007D702A">
        <w:rPr>
          <w:rFonts w:ascii="Tahoma" w:eastAsia="Times New Roman" w:hAnsi="Tahoma" w:cs="Tahoma"/>
          <w:sz w:val="20"/>
          <w:szCs w:val="20"/>
          <w:lang w:val="el-GR" w:eastAsia="el-GR"/>
        </w:rPr>
        <w:tab/>
      </w:r>
    </w:p>
    <w:p w14:paraId="0EDE1E13" w14:textId="77777777" w:rsidR="009D3B5A" w:rsidRPr="00157980" w:rsidRDefault="009D3B5A" w:rsidP="009D3B5A">
      <w:pPr>
        <w:spacing w:after="0" w:line="216" w:lineRule="auto"/>
        <w:ind w:left="720"/>
        <w:contextualSpacing/>
        <w:jc w:val="both"/>
        <w:rPr>
          <w:rFonts w:ascii="Tahoma" w:eastAsia="Times New Roman" w:hAnsi="Tahoma" w:cs="Tahoma"/>
          <w:sz w:val="20"/>
          <w:szCs w:val="20"/>
          <w:lang w:val="el-GR" w:eastAsia="el-GR"/>
        </w:rPr>
      </w:pPr>
    </w:p>
    <w:p w14:paraId="7A3480FC" w14:textId="77777777" w:rsidR="009D3B5A" w:rsidRPr="007D702A" w:rsidRDefault="009D3B5A" w:rsidP="009D3B5A">
      <w:pPr>
        <w:pStyle w:val="a9"/>
        <w:numPr>
          <w:ilvl w:val="0"/>
          <w:numId w:val="12"/>
        </w:numPr>
        <w:spacing w:after="0" w:line="216" w:lineRule="auto"/>
        <w:jc w:val="both"/>
        <w:rPr>
          <w:rFonts w:ascii="Tahoma" w:eastAsia="Times New Roman" w:hAnsi="Tahoma" w:cs="Tahoma"/>
          <w:sz w:val="20"/>
          <w:szCs w:val="20"/>
          <w:lang w:val="el-GR" w:eastAsia="el-GR"/>
        </w:rPr>
      </w:pPr>
      <w:r w:rsidRPr="007D702A">
        <w:rPr>
          <w:rFonts w:ascii="Tahoma" w:eastAsia="Times New Roman" w:hAnsi="Tahoma" w:cs="Tahoma"/>
          <w:sz w:val="20"/>
          <w:szCs w:val="20"/>
          <w:lang w:val="el-GR" w:eastAsia="el-GR"/>
        </w:rPr>
        <w:t>Πολλαπλότητα τίτλου:</w:t>
      </w:r>
      <w:r w:rsidRPr="007D702A">
        <w:rPr>
          <w:rFonts w:ascii="Tahoma" w:eastAsia="Times New Roman" w:hAnsi="Tahoma" w:cs="Tahoma"/>
          <w:sz w:val="20"/>
          <w:szCs w:val="20"/>
          <w:lang w:val="el-GR" w:eastAsia="el-GR"/>
        </w:rPr>
        <w:tab/>
      </w:r>
      <w:r w:rsidRPr="007D702A">
        <w:rPr>
          <w:rFonts w:ascii="Tahoma" w:eastAsia="Times New Roman" w:hAnsi="Tahoma" w:cs="Tahoma"/>
          <w:sz w:val="20"/>
          <w:szCs w:val="20"/>
          <w:lang w:val="el-GR" w:eastAsia="el-GR"/>
        </w:rPr>
        <w:tab/>
      </w:r>
      <w:r w:rsidRPr="007D702A">
        <w:rPr>
          <w:rFonts w:ascii="Tahoma" w:eastAsia="Times New Roman" w:hAnsi="Tahoma" w:cs="Tahoma"/>
          <w:sz w:val="20"/>
          <w:szCs w:val="20"/>
          <w:lang w:val="el-GR" w:eastAsia="el-GR"/>
        </w:rPr>
        <w:tab/>
        <w:t>Πενήντα (50) χιλιάδες ευρώ</w:t>
      </w:r>
    </w:p>
    <w:p w14:paraId="4B454BB1" w14:textId="77777777" w:rsidR="009D3B5A" w:rsidRPr="00157980" w:rsidRDefault="009D3B5A" w:rsidP="009D3B5A">
      <w:pPr>
        <w:spacing w:after="0" w:line="216" w:lineRule="auto"/>
        <w:ind w:left="720"/>
        <w:contextualSpacing/>
        <w:jc w:val="both"/>
        <w:rPr>
          <w:rFonts w:ascii="Tahoma" w:eastAsia="Times New Roman" w:hAnsi="Tahoma" w:cs="Tahoma"/>
          <w:sz w:val="20"/>
          <w:szCs w:val="20"/>
          <w:lang w:val="el-GR" w:eastAsia="el-GR"/>
        </w:rPr>
      </w:pPr>
    </w:p>
    <w:p w14:paraId="3C75A0CA" w14:textId="77777777" w:rsidR="009D3B5A" w:rsidRPr="007D702A" w:rsidRDefault="009D3B5A" w:rsidP="009D3B5A">
      <w:pPr>
        <w:pStyle w:val="a9"/>
        <w:numPr>
          <w:ilvl w:val="0"/>
          <w:numId w:val="12"/>
        </w:numPr>
        <w:spacing w:after="0" w:line="216" w:lineRule="auto"/>
        <w:jc w:val="both"/>
        <w:rPr>
          <w:rFonts w:ascii="Tahoma" w:eastAsia="Times New Roman" w:hAnsi="Tahoma" w:cs="Tahoma"/>
          <w:sz w:val="20"/>
          <w:szCs w:val="20"/>
          <w:lang w:val="el-GR" w:eastAsia="el-GR"/>
        </w:rPr>
      </w:pPr>
      <w:r w:rsidRPr="007D702A">
        <w:rPr>
          <w:rFonts w:ascii="Tahoma" w:eastAsia="Times New Roman" w:hAnsi="Tahoma" w:cs="Tahoma"/>
          <w:sz w:val="20"/>
          <w:szCs w:val="20"/>
          <w:lang w:val="el-GR" w:eastAsia="el-GR"/>
        </w:rPr>
        <w:t>Πρόωρη εξόφληση:</w:t>
      </w:r>
      <w:r w:rsidRPr="007D702A">
        <w:rPr>
          <w:rFonts w:ascii="Tahoma" w:eastAsia="Times New Roman" w:hAnsi="Tahoma" w:cs="Tahoma"/>
          <w:sz w:val="20"/>
          <w:szCs w:val="20"/>
          <w:lang w:val="el-GR" w:eastAsia="el-GR"/>
        </w:rPr>
        <w:tab/>
      </w:r>
      <w:r w:rsidRPr="007D702A">
        <w:rPr>
          <w:rFonts w:ascii="Tahoma" w:eastAsia="Times New Roman" w:hAnsi="Tahoma" w:cs="Tahoma"/>
          <w:sz w:val="20"/>
          <w:szCs w:val="20"/>
          <w:lang w:val="el-GR" w:eastAsia="el-GR"/>
        </w:rPr>
        <w:tab/>
      </w:r>
      <w:r w:rsidRPr="007D702A">
        <w:rPr>
          <w:rFonts w:ascii="Tahoma" w:eastAsia="Times New Roman" w:hAnsi="Tahoma" w:cs="Tahoma"/>
          <w:sz w:val="20"/>
          <w:szCs w:val="20"/>
          <w:lang w:val="el-GR" w:eastAsia="el-GR"/>
        </w:rPr>
        <w:tab/>
        <w:t xml:space="preserve">Μόνο στη ευχέρεια της Τράπεζας και σε </w:t>
      </w:r>
    </w:p>
    <w:p w14:paraId="07A636E9" w14:textId="77777777" w:rsidR="009D3B5A" w:rsidRPr="00157980" w:rsidRDefault="009D3B5A" w:rsidP="009D3B5A">
      <w:pPr>
        <w:spacing w:after="0" w:line="216" w:lineRule="auto"/>
        <w:ind w:left="4320"/>
        <w:contextualSpacing/>
        <w:jc w:val="both"/>
        <w:rPr>
          <w:rFonts w:ascii="Tahoma" w:eastAsia="Times New Roman" w:hAnsi="Tahoma" w:cs="Tahoma"/>
          <w:sz w:val="20"/>
          <w:szCs w:val="20"/>
          <w:lang w:val="el-GR" w:eastAsia="el-GR"/>
        </w:rPr>
      </w:pPr>
      <w:r w:rsidRPr="00157980">
        <w:rPr>
          <w:rFonts w:ascii="Tahoma" w:eastAsia="Times New Roman" w:hAnsi="Tahoma" w:cs="Tahoma"/>
          <w:sz w:val="20"/>
          <w:szCs w:val="20"/>
          <w:lang w:val="el-GR" w:eastAsia="el-GR"/>
        </w:rPr>
        <w:t xml:space="preserve">περίπτωση που πληρούνται οι διατάξεις των άρθρων 77 και 78 του Κανονισμού ΕΕ 575/2013. </w:t>
      </w:r>
    </w:p>
    <w:p w14:paraId="0E952DBD" w14:textId="77777777" w:rsidR="009D3B5A" w:rsidRPr="00157980" w:rsidRDefault="009D3B5A" w:rsidP="009D3B5A">
      <w:pPr>
        <w:spacing w:after="0" w:line="216" w:lineRule="auto"/>
        <w:ind w:left="4320"/>
        <w:contextualSpacing/>
        <w:jc w:val="both"/>
        <w:rPr>
          <w:rFonts w:ascii="Tahoma" w:eastAsia="Times New Roman" w:hAnsi="Tahoma" w:cs="Tahoma"/>
          <w:sz w:val="20"/>
          <w:szCs w:val="20"/>
          <w:lang w:val="el-GR" w:eastAsia="el-GR"/>
        </w:rPr>
      </w:pPr>
    </w:p>
    <w:p w14:paraId="0C085BC5" w14:textId="77777777" w:rsidR="009D3B5A" w:rsidRPr="00157980" w:rsidRDefault="009D3B5A" w:rsidP="009D3B5A">
      <w:pPr>
        <w:spacing w:after="0" w:line="216" w:lineRule="auto"/>
        <w:ind w:left="4320"/>
        <w:contextualSpacing/>
        <w:jc w:val="both"/>
        <w:rPr>
          <w:rFonts w:ascii="Tahoma" w:eastAsia="Times New Roman" w:hAnsi="Tahoma" w:cs="Tahoma"/>
          <w:sz w:val="20"/>
          <w:szCs w:val="20"/>
          <w:lang w:val="el-GR" w:eastAsia="el-GR"/>
        </w:rPr>
      </w:pPr>
    </w:p>
    <w:p w14:paraId="37B53935" w14:textId="77777777" w:rsidR="009D3B5A" w:rsidRPr="00157980" w:rsidRDefault="009D3B5A" w:rsidP="009D3B5A">
      <w:pPr>
        <w:spacing w:after="0" w:line="216" w:lineRule="auto"/>
        <w:contextualSpacing/>
        <w:jc w:val="both"/>
        <w:rPr>
          <w:rFonts w:ascii="Tahoma" w:eastAsia="Times New Roman" w:hAnsi="Tahoma" w:cs="Tahoma"/>
          <w:sz w:val="20"/>
          <w:szCs w:val="20"/>
          <w:lang w:val="el-GR" w:eastAsia="el-GR"/>
        </w:rPr>
      </w:pPr>
      <w:r w:rsidRPr="00157980">
        <w:rPr>
          <w:rFonts w:ascii="Tahoma" w:eastAsia="Times New Roman" w:hAnsi="Tahoma" w:cs="Tahoma"/>
          <w:sz w:val="20"/>
          <w:szCs w:val="20"/>
          <w:lang w:val="el-GR" w:eastAsia="el-GR"/>
        </w:rPr>
        <w:t xml:space="preserve">Το Διοικητικό Συμβούλιο, ζητά από τη Γενική Συνέλευση την παροχή εξουσιοδοτήσεων, για τον περαιτέρω χειρισμό του όλου θέματος και την υλοποίηση της απόφασης αυτής με δικαίωμα καθορισμού, του επιτοκίου, καθώς και των οποιωνδήποτε διαδικασιών, όρων και προϋποθέσεων απαιτούνται και σχετίζονται με την έκδοση και διάθεση των ομολόγων. </w:t>
      </w:r>
    </w:p>
    <w:p w14:paraId="3E607946" w14:textId="77777777" w:rsidR="009D3B5A" w:rsidRDefault="009D3B5A" w:rsidP="009D3B5A">
      <w:pPr>
        <w:spacing w:after="0" w:line="216" w:lineRule="auto"/>
        <w:contextualSpacing/>
        <w:jc w:val="both"/>
        <w:rPr>
          <w:rFonts w:ascii="Tahoma" w:eastAsia="Times New Roman" w:hAnsi="Tahoma" w:cs="Tahoma"/>
          <w:b/>
          <w:bCs/>
          <w:sz w:val="20"/>
          <w:szCs w:val="20"/>
          <w:lang w:val="el-GR" w:eastAsia="el-GR"/>
        </w:rPr>
      </w:pPr>
    </w:p>
    <w:p w14:paraId="1619562A" w14:textId="77777777" w:rsidR="009D3B5A" w:rsidRPr="008F4F67" w:rsidRDefault="009D3B5A" w:rsidP="009D3B5A">
      <w:pPr>
        <w:spacing w:after="0" w:line="216" w:lineRule="auto"/>
        <w:contextualSpacing/>
        <w:jc w:val="both"/>
        <w:rPr>
          <w:rFonts w:ascii="Tahoma" w:eastAsia="Times New Roman" w:hAnsi="Tahoma" w:cs="Tahoma"/>
          <w:b/>
          <w:bCs/>
          <w:sz w:val="20"/>
          <w:szCs w:val="20"/>
          <w:lang w:val="el-GR" w:eastAsia="el-GR"/>
        </w:rPr>
      </w:pPr>
      <w:r w:rsidRPr="008F4F67">
        <w:rPr>
          <w:rFonts w:ascii="Tahoma" w:eastAsia="Times New Roman" w:hAnsi="Tahoma" w:cs="Tahoma"/>
          <w:b/>
          <w:bCs/>
          <w:sz w:val="20"/>
          <w:szCs w:val="20"/>
          <w:lang w:val="el-GR" w:eastAsia="el-GR"/>
        </w:rPr>
        <w:t>Προσφορά Εταιρικών Μερίδων σε Ειδική Τιμή σε συνδυασμό με τη μείωση της ονομαστικής τιμής της μερίδας.</w:t>
      </w:r>
    </w:p>
    <w:p w14:paraId="650B33AA" w14:textId="77777777" w:rsidR="009D3B5A" w:rsidRPr="00157980" w:rsidRDefault="009D3B5A" w:rsidP="009D3B5A">
      <w:pPr>
        <w:spacing w:after="0" w:line="216" w:lineRule="auto"/>
        <w:contextualSpacing/>
        <w:jc w:val="both"/>
        <w:rPr>
          <w:rFonts w:ascii="Tahoma" w:eastAsia="Times New Roman" w:hAnsi="Tahoma" w:cs="Tahoma"/>
          <w:bCs/>
          <w:sz w:val="20"/>
          <w:szCs w:val="20"/>
          <w:lang w:val="el-GR" w:eastAsia="el-GR"/>
        </w:rPr>
      </w:pPr>
    </w:p>
    <w:p w14:paraId="79C9F99D" w14:textId="77777777" w:rsidR="009D3B5A" w:rsidRPr="00157980" w:rsidRDefault="009D3B5A" w:rsidP="009D3B5A">
      <w:pPr>
        <w:spacing w:after="0" w:line="216" w:lineRule="auto"/>
        <w:contextualSpacing/>
        <w:jc w:val="both"/>
        <w:rPr>
          <w:rFonts w:ascii="Tahoma" w:eastAsia="Times New Roman" w:hAnsi="Tahoma" w:cs="Tahoma"/>
          <w:sz w:val="20"/>
          <w:szCs w:val="20"/>
          <w:lang w:val="el-GR" w:eastAsia="el-GR"/>
        </w:rPr>
      </w:pPr>
      <w:r w:rsidRPr="00157980">
        <w:rPr>
          <w:rFonts w:ascii="Tahoma" w:eastAsia="Times New Roman" w:hAnsi="Tahoma" w:cs="Tahoma"/>
          <w:sz w:val="20"/>
          <w:szCs w:val="20"/>
          <w:lang w:val="el-GR" w:eastAsia="el-GR"/>
        </w:rPr>
        <w:t xml:space="preserve">Το Διοικητικό Συμβούλιο προτείνει στη Γενική Συνέλευση την προσφορά εταιρικών μεριδίων σε ειδική τιμή </w:t>
      </w:r>
      <w:r>
        <w:rPr>
          <w:rFonts w:ascii="Tahoma" w:eastAsia="Times New Roman" w:hAnsi="Tahoma" w:cs="Tahoma"/>
          <w:sz w:val="20"/>
          <w:szCs w:val="20"/>
          <w:lang w:val="el-GR" w:eastAsia="el-GR"/>
        </w:rPr>
        <w:t>των</w:t>
      </w:r>
      <w:r w:rsidRPr="00157980">
        <w:rPr>
          <w:rFonts w:ascii="Tahoma" w:eastAsia="Times New Roman" w:hAnsi="Tahoma" w:cs="Tahoma"/>
          <w:sz w:val="20"/>
          <w:szCs w:val="20"/>
          <w:lang w:val="el-GR" w:eastAsia="el-GR"/>
        </w:rPr>
        <w:t xml:space="preserve"> 25 ευρώ</w:t>
      </w:r>
      <w:r>
        <w:rPr>
          <w:rFonts w:ascii="Tahoma" w:eastAsia="Times New Roman" w:hAnsi="Tahoma" w:cs="Tahoma"/>
          <w:sz w:val="20"/>
          <w:szCs w:val="20"/>
          <w:lang w:val="el-GR" w:eastAsia="el-GR"/>
        </w:rPr>
        <w:t>.</w:t>
      </w:r>
      <w:r w:rsidRPr="00157980">
        <w:rPr>
          <w:rFonts w:ascii="Tahoma" w:eastAsia="Times New Roman" w:hAnsi="Tahoma" w:cs="Tahoma"/>
          <w:sz w:val="20"/>
          <w:szCs w:val="20"/>
          <w:lang w:val="el-GR" w:eastAsia="el-GR"/>
        </w:rPr>
        <w:t xml:space="preserve"> </w:t>
      </w:r>
    </w:p>
    <w:p w14:paraId="5479FBB6" w14:textId="77777777" w:rsidR="009D3B5A" w:rsidRPr="00157980" w:rsidRDefault="009D3B5A" w:rsidP="009D3B5A">
      <w:pPr>
        <w:spacing w:after="0" w:line="216" w:lineRule="auto"/>
        <w:contextualSpacing/>
        <w:jc w:val="both"/>
        <w:rPr>
          <w:rFonts w:ascii="Tahoma" w:eastAsia="Times New Roman" w:hAnsi="Tahoma" w:cs="Tahoma"/>
          <w:sz w:val="20"/>
          <w:szCs w:val="20"/>
          <w:lang w:val="el-GR" w:eastAsia="el-GR"/>
        </w:rPr>
      </w:pPr>
    </w:p>
    <w:p w14:paraId="66BA62BC" w14:textId="77777777" w:rsidR="009D3B5A" w:rsidRPr="00157980" w:rsidRDefault="009D3B5A" w:rsidP="009D3B5A">
      <w:pPr>
        <w:spacing w:after="0" w:line="216" w:lineRule="auto"/>
        <w:contextualSpacing/>
        <w:jc w:val="both"/>
        <w:rPr>
          <w:rFonts w:ascii="Tahoma" w:eastAsia="Times New Roman" w:hAnsi="Tahoma" w:cs="Tahoma"/>
          <w:sz w:val="20"/>
          <w:szCs w:val="20"/>
          <w:lang w:val="el-GR" w:eastAsia="el-GR"/>
        </w:rPr>
      </w:pPr>
      <w:r w:rsidRPr="00157980">
        <w:rPr>
          <w:rFonts w:ascii="Tahoma" w:eastAsia="Times New Roman" w:hAnsi="Tahoma" w:cs="Tahoma"/>
          <w:sz w:val="20"/>
          <w:szCs w:val="20"/>
          <w:lang w:val="el-GR" w:eastAsia="el-GR"/>
        </w:rPr>
        <w:t xml:space="preserve">Επίσης το Διοικητικό Συμβούλιο ζητά από τη Γενική Συνέλευση εξουσιοδότηση να ορίσει την ειδική τιμή προσφοράς μερίδων της επόμενης αύξησης, σε ποσό μεταξύ της νέας ονομαστικής τιμής και της λογιστικής αξίας που θα προκύψει από τα αποτελέσματα της χρήσης 2019. </w:t>
      </w:r>
    </w:p>
    <w:p w14:paraId="17706522" w14:textId="77777777" w:rsidR="009D3B5A" w:rsidRPr="009D3B5A" w:rsidRDefault="009D3B5A" w:rsidP="009D3B5A">
      <w:pPr>
        <w:spacing w:after="120"/>
        <w:rPr>
          <w:rFonts w:ascii="Tahoma" w:hAnsi="Tahoma" w:cs="Tahoma"/>
          <w:b/>
          <w:sz w:val="20"/>
          <w:szCs w:val="20"/>
          <w:lang w:val="el-GR"/>
        </w:rPr>
      </w:pPr>
    </w:p>
    <w:p w14:paraId="34875F7D" w14:textId="77777777" w:rsidR="009D3B5A" w:rsidRDefault="009D3B5A" w:rsidP="009D3B5A">
      <w:pPr>
        <w:spacing w:after="120" w:line="240" w:lineRule="auto"/>
        <w:jc w:val="both"/>
        <w:rPr>
          <w:rFonts w:ascii="Tahoma" w:hAnsi="Tahoma" w:cs="Tahoma"/>
          <w:sz w:val="20"/>
          <w:szCs w:val="20"/>
          <w:lang w:val="el-GR"/>
        </w:rPr>
      </w:pPr>
    </w:p>
    <w:p w14:paraId="4867054B" w14:textId="77777777" w:rsidR="009D3B5A" w:rsidRDefault="009D3B5A" w:rsidP="009D3B5A">
      <w:pPr>
        <w:spacing w:after="120" w:line="240" w:lineRule="auto"/>
        <w:jc w:val="both"/>
        <w:rPr>
          <w:rFonts w:ascii="Tahoma" w:hAnsi="Tahoma" w:cs="Tahoma"/>
          <w:sz w:val="20"/>
          <w:szCs w:val="20"/>
          <w:lang w:val="el-GR"/>
        </w:rPr>
      </w:pPr>
    </w:p>
    <w:p w14:paraId="705EA744" w14:textId="28F0AF72" w:rsidR="009D3B5A" w:rsidRPr="009D3B5A" w:rsidRDefault="009D3B5A" w:rsidP="009D3B5A">
      <w:pPr>
        <w:spacing w:after="120" w:line="240" w:lineRule="auto"/>
        <w:jc w:val="both"/>
        <w:rPr>
          <w:rFonts w:ascii="Tahoma" w:hAnsi="Tahoma" w:cs="Tahoma"/>
          <w:b/>
          <w:sz w:val="20"/>
          <w:szCs w:val="20"/>
          <w:lang w:val="el-GR"/>
        </w:rPr>
      </w:pPr>
      <w:r w:rsidRPr="009D3B5A">
        <w:rPr>
          <w:rFonts w:ascii="Tahoma" w:hAnsi="Tahoma" w:cs="Tahoma"/>
          <w:b/>
          <w:sz w:val="20"/>
          <w:szCs w:val="20"/>
          <w:lang w:val="el-GR"/>
        </w:rPr>
        <w:lastRenderedPageBreak/>
        <w:t>Τροποποιήσεις Καταστατικού</w:t>
      </w:r>
    </w:p>
    <w:tbl>
      <w:tblPr>
        <w:tblpPr w:leftFromText="180" w:rightFromText="180" w:horzAnchor="margin" w:tblpY="660"/>
        <w:tblW w:w="9072" w:type="dxa"/>
        <w:tblLayout w:type="fixed"/>
        <w:tblCellMar>
          <w:left w:w="10" w:type="dxa"/>
          <w:right w:w="10" w:type="dxa"/>
        </w:tblCellMar>
        <w:tblLook w:val="0000" w:firstRow="0" w:lastRow="0" w:firstColumn="0" w:lastColumn="0" w:noHBand="0" w:noVBand="0"/>
      </w:tblPr>
      <w:tblGrid>
        <w:gridCol w:w="4253"/>
        <w:gridCol w:w="236"/>
        <w:gridCol w:w="4583"/>
      </w:tblGrid>
      <w:tr w:rsidR="009D3B5A" w:rsidRPr="009D3B5A" w14:paraId="752ABD82" w14:textId="77777777" w:rsidTr="009D3B5A">
        <w:trPr>
          <w:trHeight w:val="1"/>
        </w:trPr>
        <w:tc>
          <w:tcPr>
            <w:tcW w:w="42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50731D2" w14:textId="77777777" w:rsidR="009D3B5A" w:rsidRPr="009D3B5A" w:rsidRDefault="009D3B5A" w:rsidP="009D3B5A">
            <w:pPr>
              <w:spacing w:after="0"/>
              <w:jc w:val="both"/>
              <w:rPr>
                <w:i/>
                <w:sz w:val="19"/>
                <w:szCs w:val="23"/>
              </w:rPr>
            </w:pPr>
            <w:r w:rsidRPr="009D3B5A">
              <w:rPr>
                <w:rFonts w:eastAsia="Cambria" w:cs="Cambria"/>
                <w:b/>
                <w:i/>
                <w:sz w:val="19"/>
                <w:szCs w:val="23"/>
              </w:rPr>
              <w:t>ΥΦΙΣΤΑΜΕΝΑ ΑΡΘΡΑ ΚΑΤΑΣΤΑΤΙΚΟΥ</w:t>
            </w:r>
          </w:p>
        </w:tc>
        <w:tc>
          <w:tcPr>
            <w:tcW w:w="23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700F2472" w14:textId="77777777" w:rsidR="009D3B5A" w:rsidRPr="009D3B5A" w:rsidRDefault="009D3B5A" w:rsidP="009D3B5A">
            <w:pPr>
              <w:spacing w:after="0"/>
              <w:jc w:val="both"/>
              <w:rPr>
                <w:rFonts w:cs="Calibri"/>
                <w:i/>
                <w:sz w:val="19"/>
                <w:szCs w:val="23"/>
              </w:rPr>
            </w:pPr>
          </w:p>
        </w:tc>
        <w:tc>
          <w:tcPr>
            <w:tcW w:w="458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FF61D7B" w14:textId="77777777" w:rsidR="009D3B5A" w:rsidRPr="009D3B5A" w:rsidRDefault="009D3B5A" w:rsidP="009D3B5A">
            <w:pPr>
              <w:spacing w:after="0"/>
              <w:jc w:val="both"/>
              <w:rPr>
                <w:rFonts w:eastAsia="Cambria" w:cs="Cambria"/>
                <w:b/>
                <w:i/>
                <w:sz w:val="19"/>
                <w:szCs w:val="23"/>
              </w:rPr>
            </w:pPr>
            <w:r w:rsidRPr="009D3B5A">
              <w:rPr>
                <w:rFonts w:eastAsia="Cambria" w:cs="Cambria"/>
                <w:b/>
                <w:i/>
                <w:sz w:val="19"/>
                <w:szCs w:val="23"/>
              </w:rPr>
              <w:t>ΠΡΟΤΕΙΝΟΜΕΝΕΣ ΤΡΟΠΟΠΟΙΗΣΕΙΣ ΑΡΘΡΩΝ ΚΑΤΑΣΤΑΤΙΚΟΥ</w:t>
            </w:r>
          </w:p>
          <w:p w14:paraId="6FD5B918" w14:textId="77777777" w:rsidR="009D3B5A" w:rsidRPr="009D3B5A" w:rsidRDefault="009D3B5A" w:rsidP="009D3B5A">
            <w:pPr>
              <w:spacing w:after="0"/>
              <w:jc w:val="both"/>
              <w:rPr>
                <w:i/>
                <w:sz w:val="19"/>
                <w:szCs w:val="23"/>
              </w:rPr>
            </w:pPr>
          </w:p>
        </w:tc>
      </w:tr>
      <w:tr w:rsidR="009D3B5A" w:rsidRPr="009D3B5A" w14:paraId="174E8C74" w14:textId="77777777" w:rsidTr="009D3B5A">
        <w:trPr>
          <w:trHeight w:val="1"/>
        </w:trPr>
        <w:tc>
          <w:tcPr>
            <w:tcW w:w="42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3B524BC" w14:textId="77777777" w:rsidR="009D3B5A" w:rsidRPr="009D3B5A" w:rsidRDefault="009D3B5A" w:rsidP="009D3B5A">
            <w:pPr>
              <w:numPr>
                <w:ilvl w:val="0"/>
                <w:numId w:val="13"/>
              </w:numPr>
              <w:spacing w:after="0"/>
              <w:ind w:left="294" w:hanging="360"/>
              <w:jc w:val="both"/>
              <w:rPr>
                <w:rFonts w:cs="Calibri"/>
                <w:i/>
                <w:sz w:val="19"/>
                <w:szCs w:val="23"/>
              </w:rPr>
            </w:pPr>
            <w:proofErr w:type="spellStart"/>
            <w:r w:rsidRPr="009D3B5A">
              <w:rPr>
                <w:rFonts w:eastAsia="Cambria" w:cs="Cambria"/>
                <w:b/>
                <w:i/>
                <w:sz w:val="19"/>
                <w:szCs w:val="23"/>
              </w:rPr>
              <w:t>Άρθρο</w:t>
            </w:r>
            <w:proofErr w:type="spellEnd"/>
            <w:r w:rsidRPr="009D3B5A">
              <w:rPr>
                <w:rFonts w:eastAsia="Cambria" w:cs="Cambria"/>
                <w:b/>
                <w:i/>
                <w:sz w:val="19"/>
                <w:szCs w:val="23"/>
              </w:rPr>
              <w:t xml:space="preserve"> 11, πα</w:t>
            </w:r>
            <w:proofErr w:type="spellStart"/>
            <w:r w:rsidRPr="009D3B5A">
              <w:rPr>
                <w:rFonts w:eastAsia="Cambria" w:cs="Cambria"/>
                <w:b/>
                <w:i/>
                <w:sz w:val="19"/>
                <w:szCs w:val="23"/>
              </w:rPr>
              <w:t>ράγρ</w:t>
            </w:r>
            <w:proofErr w:type="spellEnd"/>
            <w:r w:rsidRPr="009D3B5A">
              <w:rPr>
                <w:rFonts w:eastAsia="Cambria" w:cs="Cambria"/>
                <w:b/>
                <w:i/>
                <w:sz w:val="19"/>
                <w:szCs w:val="23"/>
              </w:rPr>
              <w:t xml:space="preserve">αφος 10, </w:t>
            </w:r>
            <w:proofErr w:type="spellStart"/>
            <w:r w:rsidRPr="009D3B5A">
              <w:rPr>
                <w:rFonts w:eastAsia="Cambria" w:cs="Cambria"/>
                <w:b/>
                <w:i/>
                <w:sz w:val="19"/>
                <w:szCs w:val="23"/>
              </w:rPr>
              <w:t>εδάφιο</w:t>
            </w:r>
            <w:proofErr w:type="spellEnd"/>
            <w:r w:rsidRPr="009D3B5A">
              <w:rPr>
                <w:rFonts w:eastAsia="Cambria" w:cs="Cambria"/>
                <w:b/>
                <w:i/>
                <w:sz w:val="19"/>
                <w:szCs w:val="23"/>
              </w:rPr>
              <w:t xml:space="preserve"> β :</w:t>
            </w:r>
          </w:p>
        </w:tc>
        <w:tc>
          <w:tcPr>
            <w:tcW w:w="23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74EE130" w14:textId="77777777" w:rsidR="009D3B5A" w:rsidRPr="009D3B5A" w:rsidRDefault="009D3B5A" w:rsidP="009D3B5A">
            <w:pPr>
              <w:spacing w:after="0"/>
              <w:jc w:val="both"/>
              <w:rPr>
                <w:rFonts w:cs="Calibri"/>
                <w:i/>
                <w:sz w:val="19"/>
                <w:szCs w:val="23"/>
              </w:rPr>
            </w:pPr>
          </w:p>
        </w:tc>
        <w:tc>
          <w:tcPr>
            <w:tcW w:w="458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821E4AE" w14:textId="77777777" w:rsidR="009D3B5A" w:rsidRPr="009D3B5A" w:rsidRDefault="009D3B5A" w:rsidP="009D3B5A">
            <w:pPr>
              <w:numPr>
                <w:ilvl w:val="0"/>
                <w:numId w:val="13"/>
              </w:numPr>
              <w:spacing w:after="0"/>
              <w:ind w:left="294" w:hanging="360"/>
              <w:jc w:val="both"/>
              <w:rPr>
                <w:rFonts w:cs="Calibri"/>
                <w:i/>
                <w:sz w:val="19"/>
                <w:szCs w:val="23"/>
              </w:rPr>
            </w:pPr>
            <w:proofErr w:type="spellStart"/>
            <w:r w:rsidRPr="009D3B5A">
              <w:rPr>
                <w:rFonts w:eastAsia="Cambria" w:cs="Cambria"/>
                <w:b/>
                <w:i/>
                <w:sz w:val="19"/>
                <w:szCs w:val="23"/>
              </w:rPr>
              <w:t>Άρθρο</w:t>
            </w:r>
            <w:proofErr w:type="spellEnd"/>
            <w:r w:rsidRPr="009D3B5A">
              <w:rPr>
                <w:rFonts w:eastAsia="Cambria" w:cs="Cambria"/>
                <w:b/>
                <w:i/>
                <w:sz w:val="19"/>
                <w:szCs w:val="23"/>
              </w:rPr>
              <w:t xml:space="preserve"> 11, πα</w:t>
            </w:r>
            <w:proofErr w:type="spellStart"/>
            <w:r w:rsidRPr="009D3B5A">
              <w:rPr>
                <w:rFonts w:eastAsia="Cambria" w:cs="Cambria"/>
                <w:b/>
                <w:i/>
                <w:sz w:val="19"/>
                <w:szCs w:val="23"/>
              </w:rPr>
              <w:t>ράγρ</w:t>
            </w:r>
            <w:proofErr w:type="spellEnd"/>
            <w:r w:rsidRPr="009D3B5A">
              <w:rPr>
                <w:rFonts w:eastAsia="Cambria" w:cs="Cambria"/>
                <w:b/>
                <w:i/>
                <w:sz w:val="19"/>
                <w:szCs w:val="23"/>
              </w:rPr>
              <w:t xml:space="preserve">αφος 10, </w:t>
            </w:r>
            <w:r w:rsidRPr="009D3B5A">
              <w:rPr>
                <w:sz w:val="19"/>
                <w:szCs w:val="23"/>
              </w:rPr>
              <w:t xml:space="preserve"> </w:t>
            </w:r>
            <w:proofErr w:type="spellStart"/>
            <w:r w:rsidRPr="009D3B5A">
              <w:rPr>
                <w:rFonts w:eastAsia="Cambria" w:cs="Cambria"/>
                <w:b/>
                <w:i/>
                <w:sz w:val="19"/>
                <w:szCs w:val="23"/>
              </w:rPr>
              <w:t>εδάφιο</w:t>
            </w:r>
            <w:proofErr w:type="spellEnd"/>
            <w:r w:rsidRPr="009D3B5A">
              <w:rPr>
                <w:rFonts w:eastAsia="Cambria" w:cs="Cambria"/>
                <w:b/>
                <w:i/>
                <w:sz w:val="19"/>
                <w:szCs w:val="23"/>
              </w:rPr>
              <w:t xml:space="preserve"> β:</w:t>
            </w:r>
          </w:p>
        </w:tc>
      </w:tr>
      <w:tr w:rsidR="009D3B5A" w:rsidRPr="004C0581" w14:paraId="3696999B" w14:textId="77777777" w:rsidTr="009D3B5A">
        <w:trPr>
          <w:trHeight w:val="1"/>
        </w:trPr>
        <w:tc>
          <w:tcPr>
            <w:tcW w:w="42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B6EFC2F" w14:textId="77777777" w:rsidR="009D3B5A" w:rsidRPr="009D3B5A" w:rsidRDefault="009D3B5A" w:rsidP="009D3B5A">
            <w:pPr>
              <w:spacing w:after="0"/>
              <w:jc w:val="both"/>
              <w:rPr>
                <w:rFonts w:eastAsia="Cambria" w:cs="Cambria"/>
                <w:i/>
                <w:sz w:val="19"/>
                <w:szCs w:val="23"/>
                <w:lang w:val="el-GR"/>
              </w:rPr>
            </w:pPr>
            <w:r w:rsidRPr="009D3B5A">
              <w:rPr>
                <w:rFonts w:eastAsia="Cambria" w:cs="Cambria"/>
                <w:i/>
                <w:sz w:val="19"/>
                <w:szCs w:val="23"/>
                <w:lang w:val="el-GR"/>
              </w:rPr>
              <w:t>10. Δεν γίνονται δεκτοί ως υποψήφιοι για το αξίωμα του μέλους του  Δ. Σ:</w:t>
            </w:r>
          </w:p>
          <w:p w14:paraId="2BCD59D6" w14:textId="77777777" w:rsidR="009D3B5A" w:rsidRPr="009D3B5A" w:rsidRDefault="009D3B5A" w:rsidP="009D3B5A">
            <w:pPr>
              <w:spacing w:after="0"/>
              <w:jc w:val="both"/>
              <w:rPr>
                <w:rFonts w:eastAsia="Cambria" w:cs="Cambria"/>
                <w:i/>
                <w:sz w:val="19"/>
                <w:szCs w:val="23"/>
                <w:lang w:val="el-GR"/>
              </w:rPr>
            </w:pPr>
            <w:r w:rsidRPr="009D3B5A">
              <w:rPr>
                <w:rFonts w:eastAsia="Cambria" w:cs="Cambria"/>
                <w:i/>
                <w:sz w:val="19"/>
                <w:szCs w:val="23"/>
                <w:lang w:val="el-GR"/>
              </w:rPr>
              <w:t>…</w:t>
            </w:r>
          </w:p>
          <w:p w14:paraId="7FFC3A82" w14:textId="77777777" w:rsidR="009D3B5A" w:rsidRPr="009D3B5A" w:rsidRDefault="009D3B5A" w:rsidP="009D3B5A">
            <w:pPr>
              <w:tabs>
                <w:tab w:val="left" w:pos="2430"/>
              </w:tabs>
              <w:spacing w:after="0"/>
              <w:jc w:val="both"/>
              <w:rPr>
                <w:rFonts w:eastAsia="Cambria" w:cs="Cambria"/>
                <w:i/>
                <w:sz w:val="19"/>
                <w:szCs w:val="23"/>
                <w:lang w:val="el-GR"/>
              </w:rPr>
            </w:pPr>
            <w:r w:rsidRPr="009D3B5A">
              <w:rPr>
                <w:rFonts w:eastAsia="Cambria" w:cs="Cambria"/>
                <w:i/>
                <w:sz w:val="19"/>
                <w:szCs w:val="23"/>
                <w:lang w:val="el-GR"/>
              </w:rPr>
              <w:t xml:space="preserve">β) Όσοι δεν έχουν πτυχίο Α.Ε.Ι. ή άλλου ισοδύναμου τίτλου εσωτερικού ή εξωτερικού </w:t>
            </w:r>
          </w:p>
          <w:p w14:paraId="0A5D9048" w14:textId="77777777" w:rsidR="009D3B5A" w:rsidRPr="009D3B5A" w:rsidRDefault="009D3B5A" w:rsidP="009D3B5A">
            <w:pPr>
              <w:tabs>
                <w:tab w:val="left" w:pos="2430"/>
              </w:tabs>
              <w:spacing w:after="0"/>
              <w:jc w:val="both"/>
              <w:rPr>
                <w:rFonts w:eastAsia="Cambria" w:cs="Cambria"/>
                <w:i/>
                <w:sz w:val="19"/>
                <w:szCs w:val="23"/>
              </w:rPr>
            </w:pPr>
            <w:r w:rsidRPr="009D3B5A">
              <w:rPr>
                <w:rFonts w:eastAsia="Cambria" w:cs="Cambria"/>
                <w:i/>
                <w:sz w:val="19"/>
                <w:szCs w:val="23"/>
              </w:rPr>
              <w:t>(ΠΑΛΑΙΑ ΔΙΑΤΥΠΩΣΗ)</w:t>
            </w:r>
            <w:r w:rsidRPr="009D3B5A">
              <w:rPr>
                <w:rFonts w:eastAsia="Cambria" w:cs="Cambria"/>
                <w:i/>
                <w:sz w:val="19"/>
                <w:szCs w:val="23"/>
              </w:rPr>
              <w:tab/>
            </w:r>
          </w:p>
          <w:p w14:paraId="4274C1CB" w14:textId="77777777" w:rsidR="009D3B5A" w:rsidRPr="009D3B5A" w:rsidRDefault="009D3B5A" w:rsidP="009D3B5A">
            <w:pPr>
              <w:autoSpaceDE w:val="0"/>
              <w:autoSpaceDN w:val="0"/>
              <w:adjustRightInd w:val="0"/>
              <w:spacing w:after="0"/>
              <w:jc w:val="both"/>
              <w:rPr>
                <w:rFonts w:cs="Calibri"/>
                <w:i/>
                <w:sz w:val="19"/>
                <w:szCs w:val="23"/>
              </w:rPr>
            </w:pPr>
          </w:p>
        </w:tc>
        <w:tc>
          <w:tcPr>
            <w:tcW w:w="23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43B65F6" w14:textId="77777777" w:rsidR="009D3B5A" w:rsidRPr="009D3B5A" w:rsidRDefault="009D3B5A" w:rsidP="009D3B5A">
            <w:pPr>
              <w:spacing w:after="0"/>
              <w:jc w:val="both"/>
              <w:rPr>
                <w:rFonts w:cs="Calibri"/>
                <w:i/>
                <w:sz w:val="19"/>
                <w:szCs w:val="23"/>
              </w:rPr>
            </w:pPr>
          </w:p>
        </w:tc>
        <w:tc>
          <w:tcPr>
            <w:tcW w:w="458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5C34058" w14:textId="77777777" w:rsidR="009D3B5A" w:rsidRPr="009D3B5A" w:rsidRDefault="009D3B5A" w:rsidP="009D3B5A">
            <w:pPr>
              <w:autoSpaceDE w:val="0"/>
              <w:autoSpaceDN w:val="0"/>
              <w:adjustRightInd w:val="0"/>
              <w:spacing w:after="0"/>
              <w:jc w:val="both"/>
              <w:rPr>
                <w:rFonts w:eastAsia="Cambria" w:cs="Cambria"/>
                <w:i/>
                <w:sz w:val="19"/>
                <w:szCs w:val="23"/>
                <w:lang w:val="el-GR"/>
              </w:rPr>
            </w:pPr>
            <w:r w:rsidRPr="009D3B5A">
              <w:rPr>
                <w:rFonts w:eastAsia="Cambria" w:cs="Cambria"/>
                <w:i/>
                <w:sz w:val="19"/>
                <w:szCs w:val="23"/>
                <w:lang w:val="el-GR"/>
              </w:rPr>
              <w:t>10. Δεν γίνονται δεκτοί ως υποψήφιοι για το αξίωμα του μέλους του  Δ. Σ:</w:t>
            </w:r>
          </w:p>
          <w:p w14:paraId="6E884FB9" w14:textId="77777777" w:rsidR="009D3B5A" w:rsidRPr="009D3B5A" w:rsidRDefault="009D3B5A" w:rsidP="009D3B5A">
            <w:pPr>
              <w:autoSpaceDE w:val="0"/>
              <w:autoSpaceDN w:val="0"/>
              <w:adjustRightInd w:val="0"/>
              <w:spacing w:after="0"/>
              <w:jc w:val="both"/>
              <w:rPr>
                <w:rFonts w:eastAsia="Cambria" w:cs="Cambria"/>
                <w:i/>
                <w:sz w:val="19"/>
                <w:szCs w:val="23"/>
                <w:lang w:val="el-GR"/>
              </w:rPr>
            </w:pPr>
            <w:r w:rsidRPr="009D3B5A">
              <w:rPr>
                <w:rFonts w:eastAsia="Cambria" w:cs="Cambria"/>
                <w:i/>
                <w:sz w:val="19"/>
                <w:szCs w:val="23"/>
                <w:lang w:val="el-GR"/>
              </w:rPr>
              <w:t>…</w:t>
            </w:r>
          </w:p>
          <w:p w14:paraId="7E6771A7" w14:textId="77777777" w:rsidR="009D3B5A" w:rsidRPr="009D3B5A" w:rsidRDefault="009D3B5A" w:rsidP="009D3B5A">
            <w:pPr>
              <w:autoSpaceDE w:val="0"/>
              <w:autoSpaceDN w:val="0"/>
              <w:adjustRightInd w:val="0"/>
              <w:spacing w:after="0"/>
              <w:jc w:val="both"/>
              <w:rPr>
                <w:rFonts w:eastAsia="Cambria" w:cs="Cambria"/>
                <w:i/>
                <w:sz w:val="19"/>
                <w:szCs w:val="23"/>
                <w:lang w:val="el-GR"/>
              </w:rPr>
            </w:pPr>
            <w:r w:rsidRPr="009D3B5A">
              <w:rPr>
                <w:rFonts w:eastAsia="Cambria" w:cs="Cambria"/>
                <w:i/>
                <w:sz w:val="19"/>
                <w:szCs w:val="23"/>
                <w:lang w:val="el-GR"/>
              </w:rPr>
              <w:t>β) Όσοι δεν έχουν πτυχίο Α.Ε.Ι.</w:t>
            </w:r>
            <w:r w:rsidRPr="009D3B5A">
              <w:rPr>
                <w:sz w:val="19"/>
                <w:lang w:val="el-GR"/>
              </w:rPr>
              <w:t xml:space="preserve"> </w:t>
            </w:r>
            <w:r w:rsidRPr="009D3B5A">
              <w:rPr>
                <w:rFonts w:eastAsia="Cambria" w:cs="Cambria"/>
                <w:b/>
                <w:i/>
                <w:sz w:val="19"/>
                <w:szCs w:val="23"/>
                <w:lang w:val="el-GR"/>
              </w:rPr>
              <w:t>(κατηγορίας ΠΕ)</w:t>
            </w:r>
            <w:r w:rsidRPr="009D3B5A">
              <w:rPr>
                <w:rFonts w:eastAsia="Cambria" w:cs="Cambria"/>
                <w:i/>
                <w:sz w:val="19"/>
                <w:szCs w:val="23"/>
                <w:lang w:val="el-GR"/>
              </w:rPr>
              <w:t xml:space="preserve">, ή </w:t>
            </w:r>
            <w:r w:rsidRPr="009D3B5A">
              <w:rPr>
                <w:rFonts w:eastAsia="Cambria" w:cs="Cambria"/>
                <w:b/>
                <w:i/>
                <w:sz w:val="19"/>
                <w:szCs w:val="23"/>
                <w:lang w:val="el-GR"/>
              </w:rPr>
              <w:t>άλλο ισοδύναμο τίτλο</w:t>
            </w:r>
            <w:r w:rsidRPr="009D3B5A">
              <w:rPr>
                <w:rFonts w:eastAsia="Cambria" w:cs="Cambria"/>
                <w:i/>
                <w:sz w:val="19"/>
                <w:szCs w:val="23"/>
                <w:lang w:val="el-GR"/>
              </w:rPr>
              <w:t xml:space="preserve"> </w:t>
            </w:r>
            <w:r w:rsidRPr="009D3B5A">
              <w:rPr>
                <w:rFonts w:eastAsia="Cambria" w:cs="Cambria"/>
                <w:b/>
                <w:strike/>
                <w:sz w:val="19"/>
                <w:szCs w:val="23"/>
                <w:lang w:val="el-GR"/>
              </w:rPr>
              <w:t>εσωτερικού ή</w:t>
            </w:r>
            <w:r w:rsidRPr="009D3B5A">
              <w:rPr>
                <w:rFonts w:eastAsia="Cambria" w:cs="Cambria"/>
                <w:i/>
                <w:sz w:val="19"/>
                <w:szCs w:val="23"/>
                <w:lang w:val="el-GR"/>
              </w:rPr>
              <w:t xml:space="preserve"> εξωτερικού, (</w:t>
            </w:r>
            <w:r w:rsidRPr="009D3B5A">
              <w:rPr>
                <w:rFonts w:eastAsia="Cambria" w:cs="Cambria"/>
                <w:b/>
                <w:i/>
                <w:sz w:val="19"/>
                <w:szCs w:val="23"/>
                <w:lang w:val="el-GR"/>
              </w:rPr>
              <w:t>αναγνωρισμένο από τον ΔΟΑΤΑΠ</w:t>
            </w:r>
            <w:r w:rsidRPr="009D3B5A">
              <w:rPr>
                <w:rFonts w:eastAsia="Cambria" w:cs="Cambria"/>
                <w:i/>
                <w:sz w:val="19"/>
                <w:szCs w:val="23"/>
                <w:lang w:val="el-GR"/>
              </w:rPr>
              <w:t xml:space="preserve">).                                                                                                                                                                                                                                                                                                                                                                                                        </w:t>
            </w:r>
          </w:p>
          <w:p w14:paraId="618000D6" w14:textId="77777777" w:rsidR="009D3B5A" w:rsidRPr="009D3B5A" w:rsidRDefault="009D3B5A" w:rsidP="009D3B5A">
            <w:pPr>
              <w:autoSpaceDE w:val="0"/>
              <w:autoSpaceDN w:val="0"/>
              <w:adjustRightInd w:val="0"/>
              <w:spacing w:after="0"/>
              <w:jc w:val="both"/>
              <w:rPr>
                <w:rFonts w:eastAsia="Cambria" w:cs="Cambria"/>
                <w:i/>
                <w:sz w:val="19"/>
                <w:szCs w:val="23"/>
                <w:lang w:val="el-GR"/>
              </w:rPr>
            </w:pPr>
            <w:r w:rsidRPr="009D3B5A">
              <w:rPr>
                <w:rFonts w:eastAsia="Cambria" w:cs="Cambria"/>
                <w:i/>
                <w:sz w:val="19"/>
                <w:szCs w:val="23"/>
                <w:lang w:val="el-GR"/>
              </w:rPr>
              <w:t>(ΠΡΟΣΘΗΚΗ ΕΔΑΦΙΟΥ ΚΑΙ ΔΙΑΓΡΑΦΗ ΕΔΑΦΙΟΥ ΚΑΤΟΠΙΝ ΠΡΟΤΑΣΕΩΣ ΔΣ)</w:t>
            </w:r>
          </w:p>
          <w:p w14:paraId="06AD049C" w14:textId="77777777" w:rsidR="009D3B5A" w:rsidRPr="009D3B5A" w:rsidRDefault="009D3B5A" w:rsidP="009D3B5A">
            <w:pPr>
              <w:autoSpaceDE w:val="0"/>
              <w:autoSpaceDN w:val="0"/>
              <w:adjustRightInd w:val="0"/>
              <w:spacing w:after="0"/>
              <w:jc w:val="both"/>
              <w:rPr>
                <w:rFonts w:cs="Calibri"/>
                <w:i/>
                <w:sz w:val="19"/>
                <w:szCs w:val="23"/>
                <w:lang w:val="el-GR"/>
              </w:rPr>
            </w:pPr>
          </w:p>
        </w:tc>
      </w:tr>
      <w:tr w:rsidR="009D3B5A" w:rsidRPr="009D3B5A" w14:paraId="7224C4B2" w14:textId="77777777" w:rsidTr="009D3B5A">
        <w:trPr>
          <w:trHeight w:val="1"/>
        </w:trPr>
        <w:tc>
          <w:tcPr>
            <w:tcW w:w="42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A8FAD58" w14:textId="77777777" w:rsidR="009D3B5A" w:rsidRPr="009D3B5A" w:rsidRDefault="009D3B5A" w:rsidP="009D3B5A">
            <w:pPr>
              <w:numPr>
                <w:ilvl w:val="0"/>
                <w:numId w:val="13"/>
              </w:numPr>
              <w:spacing w:after="0"/>
              <w:ind w:left="294" w:hanging="360"/>
              <w:jc w:val="both"/>
              <w:rPr>
                <w:rFonts w:eastAsia="Cambria" w:cs="Cambria"/>
                <w:i/>
                <w:sz w:val="19"/>
                <w:szCs w:val="23"/>
              </w:rPr>
            </w:pPr>
            <w:proofErr w:type="spellStart"/>
            <w:r w:rsidRPr="009D3B5A">
              <w:rPr>
                <w:rFonts w:eastAsia="Cambria" w:cs="Cambria"/>
                <w:b/>
                <w:i/>
                <w:sz w:val="19"/>
                <w:szCs w:val="23"/>
              </w:rPr>
              <w:t>Άρθρο</w:t>
            </w:r>
            <w:proofErr w:type="spellEnd"/>
            <w:r w:rsidRPr="009D3B5A">
              <w:rPr>
                <w:rFonts w:eastAsia="Cambria" w:cs="Cambria"/>
                <w:b/>
                <w:i/>
                <w:sz w:val="19"/>
                <w:szCs w:val="23"/>
              </w:rPr>
              <w:t xml:space="preserve"> 20, πα</w:t>
            </w:r>
            <w:proofErr w:type="spellStart"/>
            <w:r w:rsidRPr="009D3B5A">
              <w:rPr>
                <w:rFonts w:eastAsia="Cambria" w:cs="Cambria"/>
                <w:b/>
                <w:i/>
                <w:sz w:val="19"/>
                <w:szCs w:val="23"/>
              </w:rPr>
              <w:t>ράγρ</w:t>
            </w:r>
            <w:proofErr w:type="spellEnd"/>
            <w:r w:rsidRPr="009D3B5A">
              <w:rPr>
                <w:rFonts w:eastAsia="Cambria" w:cs="Cambria"/>
                <w:b/>
                <w:i/>
                <w:sz w:val="19"/>
                <w:szCs w:val="23"/>
              </w:rPr>
              <w:t xml:space="preserve">αφος 8, </w:t>
            </w:r>
            <w:proofErr w:type="spellStart"/>
            <w:r w:rsidRPr="009D3B5A">
              <w:rPr>
                <w:rFonts w:eastAsia="Cambria" w:cs="Cambria"/>
                <w:b/>
                <w:i/>
                <w:sz w:val="19"/>
                <w:szCs w:val="23"/>
              </w:rPr>
              <w:t>εδάφιο</w:t>
            </w:r>
            <w:proofErr w:type="spellEnd"/>
            <w:r w:rsidRPr="009D3B5A">
              <w:rPr>
                <w:rFonts w:eastAsia="Cambria" w:cs="Cambria"/>
                <w:b/>
                <w:i/>
                <w:sz w:val="19"/>
                <w:szCs w:val="23"/>
              </w:rPr>
              <w:t xml:space="preserve"> 13 :</w:t>
            </w:r>
          </w:p>
        </w:tc>
        <w:tc>
          <w:tcPr>
            <w:tcW w:w="23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4F9E13D" w14:textId="77777777" w:rsidR="009D3B5A" w:rsidRPr="009D3B5A" w:rsidRDefault="009D3B5A" w:rsidP="009D3B5A">
            <w:pPr>
              <w:spacing w:after="0"/>
              <w:jc w:val="both"/>
              <w:rPr>
                <w:rFonts w:cs="Calibri"/>
                <w:i/>
                <w:sz w:val="19"/>
                <w:szCs w:val="23"/>
              </w:rPr>
            </w:pPr>
          </w:p>
        </w:tc>
        <w:tc>
          <w:tcPr>
            <w:tcW w:w="458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1429397" w14:textId="77777777" w:rsidR="009D3B5A" w:rsidRPr="009D3B5A" w:rsidRDefault="009D3B5A" w:rsidP="009D3B5A">
            <w:pPr>
              <w:numPr>
                <w:ilvl w:val="0"/>
                <w:numId w:val="13"/>
              </w:numPr>
              <w:spacing w:after="0"/>
              <w:ind w:left="294" w:hanging="360"/>
              <w:jc w:val="both"/>
              <w:rPr>
                <w:rFonts w:eastAsia="Cambria" w:cs="Cambria"/>
                <w:i/>
                <w:sz w:val="19"/>
                <w:szCs w:val="23"/>
              </w:rPr>
            </w:pPr>
            <w:proofErr w:type="spellStart"/>
            <w:r w:rsidRPr="009D3B5A">
              <w:rPr>
                <w:rFonts w:eastAsia="Cambria" w:cs="Cambria"/>
                <w:b/>
                <w:i/>
                <w:sz w:val="19"/>
                <w:szCs w:val="23"/>
              </w:rPr>
              <w:t>Άρθρο</w:t>
            </w:r>
            <w:proofErr w:type="spellEnd"/>
            <w:r w:rsidRPr="009D3B5A">
              <w:rPr>
                <w:rFonts w:eastAsia="Cambria" w:cs="Cambria"/>
                <w:b/>
                <w:i/>
                <w:sz w:val="19"/>
                <w:szCs w:val="23"/>
              </w:rPr>
              <w:t xml:space="preserve"> 20, πα</w:t>
            </w:r>
            <w:proofErr w:type="spellStart"/>
            <w:r w:rsidRPr="009D3B5A">
              <w:rPr>
                <w:rFonts w:eastAsia="Cambria" w:cs="Cambria"/>
                <w:b/>
                <w:i/>
                <w:sz w:val="19"/>
                <w:szCs w:val="23"/>
              </w:rPr>
              <w:t>ράγρ</w:t>
            </w:r>
            <w:proofErr w:type="spellEnd"/>
            <w:r w:rsidRPr="009D3B5A">
              <w:rPr>
                <w:rFonts w:eastAsia="Cambria" w:cs="Cambria"/>
                <w:b/>
                <w:i/>
                <w:sz w:val="19"/>
                <w:szCs w:val="23"/>
              </w:rPr>
              <w:t xml:space="preserve">αφος 8, </w:t>
            </w:r>
            <w:proofErr w:type="spellStart"/>
            <w:r w:rsidRPr="009D3B5A">
              <w:rPr>
                <w:rFonts w:eastAsia="Cambria" w:cs="Cambria"/>
                <w:b/>
                <w:i/>
                <w:sz w:val="19"/>
                <w:szCs w:val="23"/>
              </w:rPr>
              <w:t>εδάφιο</w:t>
            </w:r>
            <w:proofErr w:type="spellEnd"/>
            <w:r w:rsidRPr="009D3B5A">
              <w:rPr>
                <w:rFonts w:eastAsia="Cambria" w:cs="Cambria"/>
                <w:b/>
                <w:i/>
                <w:sz w:val="19"/>
                <w:szCs w:val="23"/>
              </w:rPr>
              <w:t xml:space="preserve"> 13 :</w:t>
            </w:r>
          </w:p>
        </w:tc>
      </w:tr>
      <w:tr w:rsidR="009D3B5A" w:rsidRPr="004C0581" w14:paraId="50D4B844" w14:textId="77777777" w:rsidTr="009D3B5A">
        <w:trPr>
          <w:trHeight w:val="1"/>
        </w:trPr>
        <w:tc>
          <w:tcPr>
            <w:tcW w:w="42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79ACD64" w14:textId="77777777" w:rsidR="009D3B5A" w:rsidRPr="009D3B5A" w:rsidRDefault="009D3B5A" w:rsidP="009D3B5A">
            <w:pPr>
              <w:spacing w:after="0"/>
              <w:jc w:val="both"/>
              <w:rPr>
                <w:rFonts w:eastAsia="Cambria" w:cs="Cambria"/>
                <w:i/>
                <w:sz w:val="19"/>
                <w:szCs w:val="23"/>
                <w:lang w:val="el-GR"/>
              </w:rPr>
            </w:pPr>
            <w:r w:rsidRPr="009D3B5A">
              <w:rPr>
                <w:rFonts w:eastAsia="Cambria" w:cs="Cambria"/>
                <w:i/>
                <w:sz w:val="19"/>
                <w:szCs w:val="23"/>
                <w:lang w:val="el-GR"/>
              </w:rPr>
              <w:t>Κάθε  μέλος του Συνεταιρισμού ψηφίζει για το Διοικητικό Συμβούλιο μέχρι τρείς (3) υποψηφίους της προτίμησής του και επιπλέον μέχρι έναν (1) υποψήφιο της προτίμησης του για τις δύο (2) θέσεις των εκτελεστικών μελών πλήρους απασχόλησης  και για την Επιτροπή Ανάδειξης Υποψηφίων μέχρι δύο (2) υποψηφίους της προτίμησής του,  επί του ενιαίου ψηφοδελτίου, με σταυρό  που σημειώνεται δίπλα στο όνομα κάθε υποψηφίου.</w:t>
            </w:r>
          </w:p>
          <w:p w14:paraId="58C6238F" w14:textId="77777777" w:rsidR="009D3B5A" w:rsidRPr="009D3B5A" w:rsidRDefault="009D3B5A" w:rsidP="009D3B5A">
            <w:pPr>
              <w:spacing w:after="0"/>
              <w:jc w:val="both"/>
              <w:rPr>
                <w:rFonts w:eastAsia="Cambria" w:cs="Cambria"/>
                <w:i/>
                <w:sz w:val="19"/>
                <w:szCs w:val="23"/>
              </w:rPr>
            </w:pPr>
            <w:r w:rsidRPr="009D3B5A">
              <w:rPr>
                <w:rFonts w:eastAsia="Cambria" w:cs="Cambria"/>
                <w:i/>
                <w:sz w:val="19"/>
                <w:szCs w:val="23"/>
              </w:rPr>
              <w:t>(ΠΑΛΑΙΑ ΔΙΑΤΥΠΩΣΗ)</w:t>
            </w:r>
            <w:r w:rsidRPr="009D3B5A">
              <w:rPr>
                <w:rFonts w:eastAsia="Cambria" w:cs="Cambria"/>
                <w:i/>
                <w:sz w:val="19"/>
                <w:szCs w:val="23"/>
              </w:rPr>
              <w:tab/>
            </w:r>
          </w:p>
        </w:tc>
        <w:tc>
          <w:tcPr>
            <w:tcW w:w="23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44F0190" w14:textId="77777777" w:rsidR="009D3B5A" w:rsidRPr="009D3B5A" w:rsidRDefault="009D3B5A" w:rsidP="009D3B5A">
            <w:pPr>
              <w:spacing w:after="0"/>
              <w:jc w:val="both"/>
              <w:rPr>
                <w:rFonts w:cs="Calibri"/>
                <w:i/>
                <w:sz w:val="19"/>
                <w:szCs w:val="23"/>
              </w:rPr>
            </w:pPr>
          </w:p>
        </w:tc>
        <w:tc>
          <w:tcPr>
            <w:tcW w:w="458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5FBB846" w14:textId="77777777" w:rsidR="009D3B5A" w:rsidRPr="009D3B5A" w:rsidRDefault="009D3B5A" w:rsidP="009D3B5A">
            <w:pPr>
              <w:autoSpaceDE w:val="0"/>
              <w:autoSpaceDN w:val="0"/>
              <w:adjustRightInd w:val="0"/>
              <w:spacing w:after="0"/>
              <w:jc w:val="both"/>
              <w:rPr>
                <w:rFonts w:eastAsia="Cambria" w:cs="Cambria"/>
                <w:i/>
                <w:sz w:val="19"/>
                <w:szCs w:val="23"/>
                <w:lang w:val="el-GR"/>
              </w:rPr>
            </w:pPr>
            <w:r w:rsidRPr="009D3B5A">
              <w:rPr>
                <w:rFonts w:eastAsia="Cambria" w:cs="Cambria"/>
                <w:i/>
                <w:sz w:val="19"/>
                <w:szCs w:val="23"/>
                <w:lang w:val="el-GR"/>
              </w:rPr>
              <w:t xml:space="preserve">Κάθε  μέλος του Συνεταιρισμού ψηφίζει για το Διοικητικό Συμβούλιο μέχρι </w:t>
            </w:r>
            <w:r w:rsidRPr="009D3B5A">
              <w:rPr>
                <w:rFonts w:eastAsia="Cambria" w:cs="Cambria"/>
                <w:i/>
                <w:strike/>
                <w:sz w:val="19"/>
                <w:szCs w:val="23"/>
                <w:lang w:val="el-GR"/>
              </w:rPr>
              <w:t>τρείς (3)</w:t>
            </w:r>
            <w:r w:rsidRPr="009D3B5A">
              <w:rPr>
                <w:rFonts w:eastAsia="Cambria" w:cs="Cambria"/>
                <w:i/>
                <w:sz w:val="19"/>
                <w:szCs w:val="23"/>
                <w:lang w:val="el-GR"/>
              </w:rPr>
              <w:t xml:space="preserve"> </w:t>
            </w:r>
            <w:r w:rsidRPr="009D3B5A">
              <w:rPr>
                <w:rFonts w:eastAsia="Cambria" w:cs="Cambria"/>
                <w:b/>
                <w:i/>
                <w:sz w:val="19"/>
                <w:szCs w:val="23"/>
                <w:lang w:val="el-GR"/>
              </w:rPr>
              <w:t>τέσσερις (4)</w:t>
            </w:r>
            <w:r w:rsidRPr="009D3B5A">
              <w:rPr>
                <w:rFonts w:eastAsia="Cambria" w:cs="Cambria"/>
                <w:i/>
                <w:sz w:val="19"/>
                <w:szCs w:val="23"/>
                <w:lang w:val="el-GR"/>
              </w:rPr>
              <w:t xml:space="preserve"> υποψηφίους της προτίμησής του και επιπλέον μέχρι </w:t>
            </w:r>
            <w:r w:rsidRPr="009D3B5A">
              <w:rPr>
                <w:rFonts w:eastAsia="Cambria" w:cs="Cambria"/>
                <w:i/>
                <w:strike/>
                <w:sz w:val="19"/>
                <w:szCs w:val="23"/>
                <w:lang w:val="el-GR"/>
              </w:rPr>
              <w:t>έναν (1) υποψήφιο</w:t>
            </w:r>
            <w:r w:rsidRPr="009D3B5A">
              <w:rPr>
                <w:rFonts w:eastAsia="Cambria" w:cs="Cambria"/>
                <w:i/>
                <w:sz w:val="19"/>
                <w:szCs w:val="23"/>
                <w:lang w:val="el-GR"/>
              </w:rPr>
              <w:t xml:space="preserve"> </w:t>
            </w:r>
            <w:r w:rsidRPr="009D3B5A">
              <w:rPr>
                <w:rFonts w:eastAsia="Cambria" w:cs="Cambria"/>
                <w:b/>
                <w:i/>
                <w:sz w:val="19"/>
                <w:szCs w:val="23"/>
                <w:lang w:val="el-GR"/>
              </w:rPr>
              <w:t>δύο (2) υποψηφίους</w:t>
            </w:r>
            <w:r w:rsidRPr="009D3B5A">
              <w:rPr>
                <w:rFonts w:eastAsia="Cambria" w:cs="Cambria"/>
                <w:i/>
                <w:sz w:val="19"/>
                <w:szCs w:val="23"/>
                <w:lang w:val="el-GR"/>
              </w:rPr>
              <w:t xml:space="preserve"> της προτίμησης του για τις δύο (2) θέσεις των εκτελεστικών μελών πλήρους απασχόλησης  και για την Επιτροπή Ανάδειξης Υποψηφίων μέχρι δύο (2) υποψηφίους της προτίμησής του, επί του ενιαίου ψηφοδελτίου, με σταυρό  που σημειώνεται δίπλα στο όνομα κάθε υποψηφίου.</w:t>
            </w:r>
          </w:p>
          <w:p w14:paraId="44D9096E" w14:textId="77777777" w:rsidR="009D3B5A" w:rsidRPr="009D3B5A" w:rsidRDefault="009D3B5A" w:rsidP="009D3B5A">
            <w:pPr>
              <w:autoSpaceDE w:val="0"/>
              <w:autoSpaceDN w:val="0"/>
              <w:adjustRightInd w:val="0"/>
              <w:spacing w:after="0"/>
              <w:jc w:val="both"/>
              <w:rPr>
                <w:rFonts w:eastAsia="Cambria" w:cs="Cambria"/>
                <w:i/>
                <w:sz w:val="19"/>
                <w:szCs w:val="23"/>
                <w:lang w:val="el-GR"/>
              </w:rPr>
            </w:pPr>
            <w:r w:rsidRPr="009D3B5A">
              <w:rPr>
                <w:rFonts w:eastAsia="Cambria" w:cs="Cambria"/>
                <w:i/>
                <w:sz w:val="19"/>
                <w:szCs w:val="23"/>
                <w:lang w:val="el-GR"/>
              </w:rPr>
              <w:t>(ΤΡΟΠΟΠΟΙΗΣΗ ΕΔΑΦΙΟΥ ΚΑΤΟΠΙΝ ΠΡΟΤΑΣΕΩΣ ΔΣ)</w:t>
            </w:r>
          </w:p>
          <w:p w14:paraId="554B9D0C" w14:textId="77777777" w:rsidR="009D3B5A" w:rsidRPr="009D3B5A" w:rsidRDefault="009D3B5A" w:rsidP="009D3B5A">
            <w:pPr>
              <w:autoSpaceDE w:val="0"/>
              <w:autoSpaceDN w:val="0"/>
              <w:adjustRightInd w:val="0"/>
              <w:spacing w:after="0"/>
              <w:jc w:val="both"/>
              <w:rPr>
                <w:rFonts w:eastAsia="Cambria" w:cs="Cambria"/>
                <w:i/>
                <w:sz w:val="19"/>
                <w:szCs w:val="23"/>
                <w:lang w:val="el-GR"/>
              </w:rPr>
            </w:pPr>
          </w:p>
        </w:tc>
      </w:tr>
      <w:tr w:rsidR="009D3B5A" w:rsidRPr="009D3B5A" w14:paraId="1A5AA7FC" w14:textId="77777777" w:rsidTr="009D3B5A">
        <w:trPr>
          <w:trHeight w:val="1"/>
        </w:trPr>
        <w:tc>
          <w:tcPr>
            <w:tcW w:w="42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BADD98E" w14:textId="77777777" w:rsidR="009D3B5A" w:rsidRPr="009D3B5A" w:rsidRDefault="009D3B5A" w:rsidP="009D3B5A">
            <w:pPr>
              <w:numPr>
                <w:ilvl w:val="0"/>
                <w:numId w:val="13"/>
              </w:numPr>
              <w:spacing w:after="0"/>
              <w:ind w:left="294" w:hanging="360"/>
              <w:jc w:val="both"/>
              <w:rPr>
                <w:rFonts w:eastAsia="Cambria" w:cs="Cambria"/>
                <w:i/>
                <w:sz w:val="19"/>
                <w:szCs w:val="23"/>
              </w:rPr>
            </w:pPr>
            <w:proofErr w:type="spellStart"/>
            <w:r w:rsidRPr="009D3B5A">
              <w:rPr>
                <w:rFonts w:eastAsia="Cambria" w:cs="Cambria"/>
                <w:b/>
                <w:i/>
                <w:sz w:val="19"/>
                <w:szCs w:val="23"/>
              </w:rPr>
              <w:t>Άρθρο</w:t>
            </w:r>
            <w:proofErr w:type="spellEnd"/>
            <w:r w:rsidRPr="009D3B5A">
              <w:rPr>
                <w:rFonts w:eastAsia="Cambria" w:cs="Cambria"/>
                <w:b/>
                <w:i/>
                <w:sz w:val="19"/>
                <w:szCs w:val="23"/>
              </w:rPr>
              <w:t xml:space="preserve"> 40, πα</w:t>
            </w:r>
            <w:proofErr w:type="spellStart"/>
            <w:r w:rsidRPr="009D3B5A">
              <w:rPr>
                <w:rFonts w:eastAsia="Cambria" w:cs="Cambria"/>
                <w:b/>
                <w:i/>
                <w:sz w:val="19"/>
                <w:szCs w:val="23"/>
              </w:rPr>
              <w:t>ράγρ</w:t>
            </w:r>
            <w:proofErr w:type="spellEnd"/>
            <w:r w:rsidRPr="009D3B5A">
              <w:rPr>
                <w:rFonts w:eastAsia="Cambria" w:cs="Cambria"/>
                <w:b/>
                <w:i/>
                <w:sz w:val="19"/>
                <w:szCs w:val="23"/>
              </w:rPr>
              <w:t>αφος 2 :</w:t>
            </w:r>
          </w:p>
        </w:tc>
        <w:tc>
          <w:tcPr>
            <w:tcW w:w="23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77FCFB0" w14:textId="77777777" w:rsidR="009D3B5A" w:rsidRPr="009D3B5A" w:rsidRDefault="009D3B5A" w:rsidP="009D3B5A">
            <w:pPr>
              <w:spacing w:after="0"/>
              <w:jc w:val="both"/>
              <w:rPr>
                <w:rFonts w:cs="Calibri"/>
                <w:i/>
                <w:sz w:val="19"/>
                <w:szCs w:val="23"/>
              </w:rPr>
            </w:pPr>
          </w:p>
        </w:tc>
        <w:tc>
          <w:tcPr>
            <w:tcW w:w="458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D4F6821" w14:textId="77777777" w:rsidR="009D3B5A" w:rsidRPr="009D3B5A" w:rsidRDefault="009D3B5A" w:rsidP="009D3B5A">
            <w:pPr>
              <w:numPr>
                <w:ilvl w:val="0"/>
                <w:numId w:val="13"/>
              </w:numPr>
              <w:spacing w:after="0"/>
              <w:ind w:left="294" w:hanging="360"/>
              <w:jc w:val="both"/>
              <w:rPr>
                <w:rFonts w:eastAsia="Cambria" w:cs="Cambria"/>
                <w:i/>
                <w:sz w:val="19"/>
                <w:szCs w:val="23"/>
              </w:rPr>
            </w:pPr>
            <w:proofErr w:type="spellStart"/>
            <w:r w:rsidRPr="009D3B5A">
              <w:rPr>
                <w:rFonts w:eastAsia="Cambria" w:cs="Cambria"/>
                <w:b/>
                <w:i/>
                <w:sz w:val="19"/>
                <w:szCs w:val="23"/>
              </w:rPr>
              <w:t>Άρθρο</w:t>
            </w:r>
            <w:proofErr w:type="spellEnd"/>
            <w:r w:rsidRPr="009D3B5A">
              <w:rPr>
                <w:rFonts w:eastAsia="Cambria" w:cs="Cambria"/>
                <w:b/>
                <w:i/>
                <w:sz w:val="19"/>
                <w:szCs w:val="23"/>
              </w:rPr>
              <w:t xml:space="preserve"> 40, πα</w:t>
            </w:r>
            <w:proofErr w:type="spellStart"/>
            <w:r w:rsidRPr="009D3B5A">
              <w:rPr>
                <w:rFonts w:eastAsia="Cambria" w:cs="Cambria"/>
                <w:b/>
                <w:i/>
                <w:sz w:val="19"/>
                <w:szCs w:val="23"/>
              </w:rPr>
              <w:t>ράγρ</w:t>
            </w:r>
            <w:proofErr w:type="spellEnd"/>
            <w:r w:rsidRPr="009D3B5A">
              <w:rPr>
                <w:rFonts w:eastAsia="Cambria" w:cs="Cambria"/>
                <w:b/>
                <w:i/>
                <w:sz w:val="19"/>
                <w:szCs w:val="23"/>
              </w:rPr>
              <w:t>αφος 2 :</w:t>
            </w:r>
          </w:p>
        </w:tc>
      </w:tr>
      <w:tr w:rsidR="009D3B5A" w:rsidRPr="004C0581" w14:paraId="34756E1D" w14:textId="77777777" w:rsidTr="009D3B5A">
        <w:trPr>
          <w:trHeight w:val="1"/>
        </w:trPr>
        <w:tc>
          <w:tcPr>
            <w:tcW w:w="42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2EB3AE7" w14:textId="77777777" w:rsidR="009D3B5A" w:rsidRPr="009D3B5A" w:rsidRDefault="009D3B5A" w:rsidP="009D3B5A">
            <w:pPr>
              <w:spacing w:after="0"/>
              <w:jc w:val="both"/>
              <w:rPr>
                <w:rFonts w:eastAsia="Cambria" w:cs="Cambria"/>
                <w:i/>
                <w:sz w:val="19"/>
                <w:szCs w:val="23"/>
                <w:lang w:val="el-GR"/>
              </w:rPr>
            </w:pPr>
            <w:r w:rsidRPr="009D3B5A">
              <w:rPr>
                <w:rFonts w:eastAsia="Cambria" w:cs="Cambria"/>
                <w:i/>
                <w:sz w:val="19"/>
                <w:szCs w:val="23"/>
                <w:lang w:val="el-GR"/>
              </w:rPr>
              <w:t>2. Οι υπάλληλοι του Συνεταιρισμού προσλαμβάνονται με σύμβαση  ορισμένου  ή αορίστου χρόνου ανάλογα με τις ανάγκες του. Σε κάθε περίπτωση οι προσλαμβανόμενοι διανύουν δοκιμαστική υπηρεσία ενός (1) έτους.</w:t>
            </w:r>
          </w:p>
          <w:p w14:paraId="353F66EB" w14:textId="77777777" w:rsidR="009D3B5A" w:rsidRPr="009D3B5A" w:rsidRDefault="009D3B5A" w:rsidP="009D3B5A">
            <w:pPr>
              <w:spacing w:after="0"/>
              <w:jc w:val="both"/>
              <w:rPr>
                <w:rFonts w:eastAsia="Cambria" w:cs="Cambria"/>
                <w:i/>
                <w:sz w:val="19"/>
                <w:szCs w:val="23"/>
              </w:rPr>
            </w:pPr>
            <w:r w:rsidRPr="009D3B5A">
              <w:rPr>
                <w:rFonts w:eastAsia="Cambria" w:cs="Cambria"/>
                <w:i/>
                <w:sz w:val="19"/>
                <w:szCs w:val="23"/>
              </w:rPr>
              <w:t>(ΠΑΛΑΙΑ ΔΙΑΤΥΠΩΣΗ)</w:t>
            </w:r>
            <w:r w:rsidRPr="009D3B5A">
              <w:rPr>
                <w:rFonts w:eastAsia="Cambria" w:cs="Cambria"/>
                <w:i/>
                <w:sz w:val="19"/>
                <w:szCs w:val="23"/>
              </w:rPr>
              <w:tab/>
            </w:r>
          </w:p>
        </w:tc>
        <w:tc>
          <w:tcPr>
            <w:tcW w:w="23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C5C0549" w14:textId="77777777" w:rsidR="009D3B5A" w:rsidRPr="009D3B5A" w:rsidRDefault="009D3B5A" w:rsidP="009D3B5A">
            <w:pPr>
              <w:spacing w:after="0"/>
              <w:jc w:val="both"/>
              <w:rPr>
                <w:rFonts w:cs="Calibri"/>
                <w:i/>
                <w:sz w:val="19"/>
                <w:szCs w:val="23"/>
              </w:rPr>
            </w:pPr>
          </w:p>
        </w:tc>
        <w:tc>
          <w:tcPr>
            <w:tcW w:w="458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1439909" w14:textId="77777777" w:rsidR="009D3B5A" w:rsidRPr="009D3B5A" w:rsidRDefault="009D3B5A" w:rsidP="009D3B5A">
            <w:pPr>
              <w:autoSpaceDE w:val="0"/>
              <w:autoSpaceDN w:val="0"/>
              <w:adjustRightInd w:val="0"/>
              <w:spacing w:after="0"/>
              <w:jc w:val="both"/>
              <w:rPr>
                <w:rFonts w:eastAsia="Cambria" w:cs="Cambria"/>
                <w:b/>
                <w:i/>
                <w:sz w:val="19"/>
                <w:szCs w:val="23"/>
                <w:lang w:val="el-GR"/>
              </w:rPr>
            </w:pPr>
            <w:r w:rsidRPr="009D3B5A">
              <w:rPr>
                <w:rFonts w:eastAsia="Cambria" w:cs="Cambria"/>
                <w:i/>
                <w:sz w:val="19"/>
                <w:szCs w:val="23"/>
                <w:lang w:val="el-GR"/>
              </w:rPr>
              <w:t xml:space="preserve">2. Οι υπάλληλοι του Συνεταιρισμού προσλαμβάνονται με σύμβαση  ορισμένου  ή αορίστου χρόνου ανάλογα με τις ανάγκες του. Σε κάθε περίπτωση οι προσλαμβανόμενοι διανύουν δοκιμαστική υπηρεσία </w:t>
            </w:r>
            <w:r w:rsidRPr="009D3B5A">
              <w:rPr>
                <w:rFonts w:eastAsia="Cambria" w:cs="Cambria"/>
                <w:b/>
                <w:i/>
                <w:strike/>
                <w:sz w:val="19"/>
                <w:szCs w:val="23"/>
                <w:lang w:val="el-GR"/>
              </w:rPr>
              <w:t>ενός (1) έτους.</w:t>
            </w:r>
            <w:r w:rsidRPr="009D3B5A">
              <w:rPr>
                <w:rFonts w:eastAsia="Cambria" w:cs="Cambria"/>
                <w:b/>
                <w:i/>
                <w:sz w:val="19"/>
                <w:szCs w:val="23"/>
                <w:lang w:val="el-GR"/>
              </w:rPr>
              <w:t xml:space="preserve"> μέχρι τρία (3) έτη.</w:t>
            </w:r>
          </w:p>
          <w:p w14:paraId="2952CE1B" w14:textId="77777777" w:rsidR="009D3B5A" w:rsidRPr="009D3B5A" w:rsidRDefault="009D3B5A" w:rsidP="009D3B5A">
            <w:pPr>
              <w:autoSpaceDE w:val="0"/>
              <w:autoSpaceDN w:val="0"/>
              <w:adjustRightInd w:val="0"/>
              <w:spacing w:after="0"/>
              <w:jc w:val="both"/>
              <w:rPr>
                <w:rFonts w:eastAsia="Cambria" w:cs="Cambria"/>
                <w:i/>
                <w:sz w:val="19"/>
                <w:szCs w:val="23"/>
                <w:lang w:val="el-GR"/>
              </w:rPr>
            </w:pPr>
            <w:r w:rsidRPr="009D3B5A">
              <w:rPr>
                <w:rFonts w:eastAsia="Cambria" w:cs="Cambria"/>
                <w:i/>
                <w:sz w:val="19"/>
                <w:szCs w:val="23"/>
                <w:lang w:val="el-GR"/>
              </w:rPr>
              <w:t>(ΤΡΟΠΟΠΟΙΗΣΗ ΕΔΑΦΙΟΥ ΚΑΤΟΠΙΝ ΠΡΟΤΑΣΕΩΣ ΔΣ)</w:t>
            </w:r>
          </w:p>
          <w:p w14:paraId="68B9A17F" w14:textId="77777777" w:rsidR="009D3B5A" w:rsidRPr="009D3B5A" w:rsidRDefault="009D3B5A" w:rsidP="009D3B5A">
            <w:pPr>
              <w:autoSpaceDE w:val="0"/>
              <w:autoSpaceDN w:val="0"/>
              <w:adjustRightInd w:val="0"/>
              <w:spacing w:after="0"/>
              <w:jc w:val="both"/>
              <w:rPr>
                <w:rFonts w:eastAsia="Cambria" w:cs="Cambria"/>
                <w:i/>
                <w:sz w:val="19"/>
                <w:szCs w:val="23"/>
                <w:lang w:val="el-GR"/>
              </w:rPr>
            </w:pPr>
          </w:p>
        </w:tc>
      </w:tr>
    </w:tbl>
    <w:p w14:paraId="1BFD48E4" w14:textId="77777777" w:rsidR="00F0621E" w:rsidRPr="009D3B5A" w:rsidRDefault="00F0621E" w:rsidP="00865AAD">
      <w:pPr>
        <w:rPr>
          <w:lang w:val="el-GR"/>
        </w:rPr>
      </w:pPr>
    </w:p>
    <w:sectPr w:rsidR="00F0621E" w:rsidRPr="009D3B5A" w:rsidSect="009D3B5A">
      <w:headerReference w:type="even" r:id="rId15"/>
      <w:headerReference w:type="default" r:id="rId16"/>
      <w:footerReference w:type="even" r:id="rId17"/>
      <w:footerReference w:type="default" r:id="rId18"/>
      <w:headerReference w:type="first" r:id="rId19"/>
      <w:footerReference w:type="first" r:id="rId20"/>
      <w:pgSz w:w="12240" w:h="15840"/>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C0932" w14:textId="77777777" w:rsidR="00146417" w:rsidRDefault="00146417">
      <w:pPr>
        <w:spacing w:after="0" w:line="240" w:lineRule="auto"/>
      </w:pPr>
      <w:r>
        <w:separator/>
      </w:r>
    </w:p>
  </w:endnote>
  <w:endnote w:type="continuationSeparator" w:id="0">
    <w:p w14:paraId="58A9A2C6" w14:textId="77777777" w:rsidR="00146417" w:rsidRDefault="00146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Albertus Medium">
    <w:altName w:val="Candara"/>
    <w:charset w:val="00"/>
    <w:family w:val="swiss"/>
    <w:pitch w:val="variable"/>
    <w:sig w:usb0="00000001"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72B7B" w14:textId="77777777" w:rsidR="009D3B5A" w:rsidRDefault="009D3B5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BE6A5" w14:textId="619E0966" w:rsidR="009D3B5A" w:rsidRPr="000A2C91" w:rsidRDefault="009D3B5A" w:rsidP="009D3B5A">
    <w:pPr>
      <w:pStyle w:val="a6"/>
      <w:jc w:val="right"/>
      <w:rPr>
        <w:b/>
        <w:i/>
        <w:color w:val="FF0000"/>
        <w:lang w:val="el-G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BB7C3" w14:textId="77777777" w:rsidR="009D3B5A" w:rsidRDefault="009D3B5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A8ACB" w14:textId="77777777" w:rsidR="00146417" w:rsidRDefault="00146417">
      <w:pPr>
        <w:spacing w:after="0" w:line="240" w:lineRule="auto"/>
      </w:pPr>
      <w:r>
        <w:separator/>
      </w:r>
    </w:p>
  </w:footnote>
  <w:footnote w:type="continuationSeparator" w:id="0">
    <w:p w14:paraId="09DF4F6D" w14:textId="77777777" w:rsidR="00146417" w:rsidRDefault="00146417">
      <w:pPr>
        <w:spacing w:after="0" w:line="240" w:lineRule="auto"/>
      </w:pPr>
      <w:r>
        <w:continuationSeparator/>
      </w:r>
    </w:p>
  </w:footnote>
  <w:footnote w:id="1">
    <w:p w14:paraId="70C1CE55" w14:textId="77777777" w:rsidR="009D3B5A" w:rsidRPr="00D16133" w:rsidRDefault="009D3B5A" w:rsidP="009D3B5A">
      <w:pPr>
        <w:pStyle w:val="aa"/>
        <w:ind w:left="426"/>
        <w:rPr>
          <w:sz w:val="18"/>
          <w:szCs w:val="18"/>
        </w:rPr>
      </w:pPr>
      <w:r w:rsidRPr="00D16133">
        <w:rPr>
          <w:sz w:val="18"/>
          <w:szCs w:val="18"/>
          <w:vertAlign w:val="superscript"/>
        </w:rPr>
        <w:t>(</w:t>
      </w:r>
      <w:r w:rsidRPr="00D16133">
        <w:rPr>
          <w:rStyle w:val="ab"/>
          <w:sz w:val="18"/>
          <w:szCs w:val="18"/>
        </w:rPr>
        <w:footnoteRef/>
      </w:r>
      <w:r w:rsidRPr="00D16133">
        <w:rPr>
          <w:sz w:val="18"/>
          <w:szCs w:val="18"/>
          <w:vertAlign w:val="superscript"/>
        </w:rPr>
        <w:t>)</w:t>
      </w:r>
      <w:r w:rsidRPr="00D16133">
        <w:rPr>
          <w:sz w:val="18"/>
          <w:szCs w:val="18"/>
        </w:rPr>
        <w:t xml:space="preserve"> Στατιστικό Δελτίο Οικονομικής Συγκυρίας της </w:t>
      </w:r>
      <w:proofErr w:type="spellStart"/>
      <w:r w:rsidRPr="00D16133">
        <w:rPr>
          <w:sz w:val="18"/>
          <w:szCs w:val="18"/>
        </w:rPr>
        <w:t>ΤτΕ</w:t>
      </w:r>
      <w:proofErr w:type="spellEnd"/>
      <w:r w:rsidRPr="00D16133">
        <w:rPr>
          <w:sz w:val="18"/>
          <w:szCs w:val="18"/>
        </w:rPr>
        <w:t>, Τεύχος 1</w:t>
      </w:r>
      <w:r>
        <w:rPr>
          <w:sz w:val="18"/>
          <w:szCs w:val="18"/>
        </w:rPr>
        <w:t>91 (Μάρτιος – Απρίλιος 2020)</w:t>
      </w:r>
      <w:r w:rsidRPr="00D16133">
        <w:rPr>
          <w:sz w:val="18"/>
          <w:szCs w:val="18"/>
        </w:rPr>
        <w:t>, σελ. 10</w:t>
      </w:r>
      <w:r>
        <w:rPr>
          <w:sz w:val="18"/>
          <w:szCs w:val="18"/>
        </w:rPr>
        <w:t>9, 110, 116</w:t>
      </w:r>
      <w:r w:rsidRPr="00D16133">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49B6E" w14:textId="77777777" w:rsidR="009D3B5A" w:rsidRDefault="009D3B5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0344F" w14:textId="07958B5C" w:rsidR="009D3B5A" w:rsidRPr="00F0621E" w:rsidRDefault="009D3B5A" w:rsidP="00F0621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30E90" w14:textId="77777777" w:rsidR="009D3B5A" w:rsidRDefault="009D3B5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D052C"/>
    <w:multiLevelType w:val="hybridMultilevel"/>
    <w:tmpl w:val="B5841B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9FE5A09"/>
    <w:multiLevelType w:val="hybridMultilevel"/>
    <w:tmpl w:val="909883A2"/>
    <w:lvl w:ilvl="0" w:tplc="5B96F9A8">
      <w:start w:val="1"/>
      <w:numFmt w:val="bullet"/>
      <w:lvlText w:val="•"/>
      <w:lvlJc w:val="left"/>
      <w:pPr>
        <w:tabs>
          <w:tab w:val="num" w:pos="720"/>
        </w:tabs>
        <w:ind w:left="720" w:hanging="360"/>
      </w:pPr>
      <w:rPr>
        <w:rFonts w:ascii="Arial" w:hAnsi="Arial" w:hint="default"/>
      </w:rPr>
    </w:lvl>
    <w:lvl w:ilvl="1" w:tplc="5724724A" w:tentative="1">
      <w:start w:val="1"/>
      <w:numFmt w:val="bullet"/>
      <w:lvlText w:val="•"/>
      <w:lvlJc w:val="left"/>
      <w:pPr>
        <w:tabs>
          <w:tab w:val="num" w:pos="1440"/>
        </w:tabs>
        <w:ind w:left="1440" w:hanging="360"/>
      </w:pPr>
      <w:rPr>
        <w:rFonts w:ascii="Arial" w:hAnsi="Arial" w:hint="default"/>
      </w:rPr>
    </w:lvl>
    <w:lvl w:ilvl="2" w:tplc="DDBAB972" w:tentative="1">
      <w:start w:val="1"/>
      <w:numFmt w:val="bullet"/>
      <w:lvlText w:val="•"/>
      <w:lvlJc w:val="left"/>
      <w:pPr>
        <w:tabs>
          <w:tab w:val="num" w:pos="2160"/>
        </w:tabs>
        <w:ind w:left="2160" w:hanging="360"/>
      </w:pPr>
      <w:rPr>
        <w:rFonts w:ascii="Arial" w:hAnsi="Arial" w:hint="default"/>
      </w:rPr>
    </w:lvl>
    <w:lvl w:ilvl="3" w:tplc="DF4274B4" w:tentative="1">
      <w:start w:val="1"/>
      <w:numFmt w:val="bullet"/>
      <w:lvlText w:val="•"/>
      <w:lvlJc w:val="left"/>
      <w:pPr>
        <w:tabs>
          <w:tab w:val="num" w:pos="2880"/>
        </w:tabs>
        <w:ind w:left="2880" w:hanging="360"/>
      </w:pPr>
      <w:rPr>
        <w:rFonts w:ascii="Arial" w:hAnsi="Arial" w:hint="default"/>
      </w:rPr>
    </w:lvl>
    <w:lvl w:ilvl="4" w:tplc="9FEE03E0" w:tentative="1">
      <w:start w:val="1"/>
      <w:numFmt w:val="bullet"/>
      <w:lvlText w:val="•"/>
      <w:lvlJc w:val="left"/>
      <w:pPr>
        <w:tabs>
          <w:tab w:val="num" w:pos="3600"/>
        </w:tabs>
        <w:ind w:left="3600" w:hanging="360"/>
      </w:pPr>
      <w:rPr>
        <w:rFonts w:ascii="Arial" w:hAnsi="Arial" w:hint="default"/>
      </w:rPr>
    </w:lvl>
    <w:lvl w:ilvl="5" w:tplc="F61AF70E" w:tentative="1">
      <w:start w:val="1"/>
      <w:numFmt w:val="bullet"/>
      <w:lvlText w:val="•"/>
      <w:lvlJc w:val="left"/>
      <w:pPr>
        <w:tabs>
          <w:tab w:val="num" w:pos="4320"/>
        </w:tabs>
        <w:ind w:left="4320" w:hanging="360"/>
      </w:pPr>
      <w:rPr>
        <w:rFonts w:ascii="Arial" w:hAnsi="Arial" w:hint="default"/>
      </w:rPr>
    </w:lvl>
    <w:lvl w:ilvl="6" w:tplc="60D8C258" w:tentative="1">
      <w:start w:val="1"/>
      <w:numFmt w:val="bullet"/>
      <w:lvlText w:val="•"/>
      <w:lvlJc w:val="left"/>
      <w:pPr>
        <w:tabs>
          <w:tab w:val="num" w:pos="5040"/>
        </w:tabs>
        <w:ind w:left="5040" w:hanging="360"/>
      </w:pPr>
      <w:rPr>
        <w:rFonts w:ascii="Arial" w:hAnsi="Arial" w:hint="default"/>
      </w:rPr>
    </w:lvl>
    <w:lvl w:ilvl="7" w:tplc="3642FC66" w:tentative="1">
      <w:start w:val="1"/>
      <w:numFmt w:val="bullet"/>
      <w:lvlText w:val="•"/>
      <w:lvlJc w:val="left"/>
      <w:pPr>
        <w:tabs>
          <w:tab w:val="num" w:pos="5760"/>
        </w:tabs>
        <w:ind w:left="5760" w:hanging="360"/>
      </w:pPr>
      <w:rPr>
        <w:rFonts w:ascii="Arial" w:hAnsi="Arial" w:hint="default"/>
      </w:rPr>
    </w:lvl>
    <w:lvl w:ilvl="8" w:tplc="5972022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71154F1"/>
    <w:multiLevelType w:val="multilevel"/>
    <w:tmpl w:val="E8B897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1C4A26"/>
    <w:multiLevelType w:val="hybridMultilevel"/>
    <w:tmpl w:val="756AFB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B8D235C"/>
    <w:multiLevelType w:val="multilevel"/>
    <w:tmpl w:val="78F005AE"/>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CDA7B01"/>
    <w:multiLevelType w:val="hybridMultilevel"/>
    <w:tmpl w:val="712035B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52CF1261"/>
    <w:multiLevelType w:val="hybridMultilevel"/>
    <w:tmpl w:val="866A15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50141E9"/>
    <w:multiLevelType w:val="hybridMultilevel"/>
    <w:tmpl w:val="7FC069A0"/>
    <w:lvl w:ilvl="0" w:tplc="B4CA32DE">
      <w:start w:val="1"/>
      <w:numFmt w:val="bullet"/>
      <w:lvlText w:val="•"/>
      <w:lvlJc w:val="left"/>
      <w:pPr>
        <w:tabs>
          <w:tab w:val="num" w:pos="720"/>
        </w:tabs>
        <w:ind w:left="720" w:hanging="360"/>
      </w:pPr>
      <w:rPr>
        <w:rFonts w:ascii="Arial" w:hAnsi="Arial" w:hint="default"/>
      </w:rPr>
    </w:lvl>
    <w:lvl w:ilvl="1" w:tplc="D3BA006A" w:tentative="1">
      <w:start w:val="1"/>
      <w:numFmt w:val="bullet"/>
      <w:lvlText w:val="•"/>
      <w:lvlJc w:val="left"/>
      <w:pPr>
        <w:tabs>
          <w:tab w:val="num" w:pos="1440"/>
        </w:tabs>
        <w:ind w:left="1440" w:hanging="360"/>
      </w:pPr>
      <w:rPr>
        <w:rFonts w:ascii="Arial" w:hAnsi="Arial" w:hint="default"/>
      </w:rPr>
    </w:lvl>
    <w:lvl w:ilvl="2" w:tplc="4CB4152E" w:tentative="1">
      <w:start w:val="1"/>
      <w:numFmt w:val="bullet"/>
      <w:lvlText w:val="•"/>
      <w:lvlJc w:val="left"/>
      <w:pPr>
        <w:tabs>
          <w:tab w:val="num" w:pos="2160"/>
        </w:tabs>
        <w:ind w:left="2160" w:hanging="360"/>
      </w:pPr>
      <w:rPr>
        <w:rFonts w:ascii="Arial" w:hAnsi="Arial" w:hint="default"/>
      </w:rPr>
    </w:lvl>
    <w:lvl w:ilvl="3" w:tplc="F6C2FD46" w:tentative="1">
      <w:start w:val="1"/>
      <w:numFmt w:val="bullet"/>
      <w:lvlText w:val="•"/>
      <w:lvlJc w:val="left"/>
      <w:pPr>
        <w:tabs>
          <w:tab w:val="num" w:pos="2880"/>
        </w:tabs>
        <w:ind w:left="2880" w:hanging="360"/>
      </w:pPr>
      <w:rPr>
        <w:rFonts w:ascii="Arial" w:hAnsi="Arial" w:hint="default"/>
      </w:rPr>
    </w:lvl>
    <w:lvl w:ilvl="4" w:tplc="11BE1442" w:tentative="1">
      <w:start w:val="1"/>
      <w:numFmt w:val="bullet"/>
      <w:lvlText w:val="•"/>
      <w:lvlJc w:val="left"/>
      <w:pPr>
        <w:tabs>
          <w:tab w:val="num" w:pos="3600"/>
        </w:tabs>
        <w:ind w:left="3600" w:hanging="360"/>
      </w:pPr>
      <w:rPr>
        <w:rFonts w:ascii="Arial" w:hAnsi="Arial" w:hint="default"/>
      </w:rPr>
    </w:lvl>
    <w:lvl w:ilvl="5" w:tplc="70B0B2CE" w:tentative="1">
      <w:start w:val="1"/>
      <w:numFmt w:val="bullet"/>
      <w:lvlText w:val="•"/>
      <w:lvlJc w:val="left"/>
      <w:pPr>
        <w:tabs>
          <w:tab w:val="num" w:pos="4320"/>
        </w:tabs>
        <w:ind w:left="4320" w:hanging="360"/>
      </w:pPr>
      <w:rPr>
        <w:rFonts w:ascii="Arial" w:hAnsi="Arial" w:hint="default"/>
      </w:rPr>
    </w:lvl>
    <w:lvl w:ilvl="6" w:tplc="095ED4E2" w:tentative="1">
      <w:start w:val="1"/>
      <w:numFmt w:val="bullet"/>
      <w:lvlText w:val="•"/>
      <w:lvlJc w:val="left"/>
      <w:pPr>
        <w:tabs>
          <w:tab w:val="num" w:pos="5040"/>
        </w:tabs>
        <w:ind w:left="5040" w:hanging="360"/>
      </w:pPr>
      <w:rPr>
        <w:rFonts w:ascii="Arial" w:hAnsi="Arial" w:hint="default"/>
      </w:rPr>
    </w:lvl>
    <w:lvl w:ilvl="7" w:tplc="844AA01A" w:tentative="1">
      <w:start w:val="1"/>
      <w:numFmt w:val="bullet"/>
      <w:lvlText w:val="•"/>
      <w:lvlJc w:val="left"/>
      <w:pPr>
        <w:tabs>
          <w:tab w:val="num" w:pos="5760"/>
        </w:tabs>
        <w:ind w:left="5760" w:hanging="360"/>
      </w:pPr>
      <w:rPr>
        <w:rFonts w:ascii="Arial" w:hAnsi="Arial" w:hint="default"/>
      </w:rPr>
    </w:lvl>
    <w:lvl w:ilvl="8" w:tplc="84A6420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4EC77E4"/>
    <w:multiLevelType w:val="hybridMultilevel"/>
    <w:tmpl w:val="55D40B2A"/>
    <w:lvl w:ilvl="0" w:tplc="CC9AAF38">
      <w:start w:val="1"/>
      <w:numFmt w:val="bullet"/>
      <w:lvlText w:val="•"/>
      <w:lvlJc w:val="left"/>
      <w:pPr>
        <w:tabs>
          <w:tab w:val="num" w:pos="360"/>
        </w:tabs>
        <w:ind w:left="360" w:hanging="360"/>
      </w:pPr>
      <w:rPr>
        <w:rFonts w:ascii="Arial" w:hAnsi="Arial" w:hint="default"/>
      </w:rPr>
    </w:lvl>
    <w:lvl w:ilvl="1" w:tplc="A874E716">
      <w:start w:val="1"/>
      <w:numFmt w:val="bullet"/>
      <w:lvlText w:val="•"/>
      <w:lvlJc w:val="left"/>
      <w:pPr>
        <w:tabs>
          <w:tab w:val="num" w:pos="1080"/>
        </w:tabs>
        <w:ind w:left="1080" w:hanging="360"/>
      </w:pPr>
      <w:rPr>
        <w:rFonts w:ascii="Arial" w:hAnsi="Arial" w:hint="default"/>
      </w:rPr>
    </w:lvl>
    <w:lvl w:ilvl="2" w:tplc="E7AC3696">
      <w:start w:val="1"/>
      <w:numFmt w:val="bullet"/>
      <w:lvlText w:val="•"/>
      <w:lvlJc w:val="left"/>
      <w:pPr>
        <w:tabs>
          <w:tab w:val="num" w:pos="1800"/>
        </w:tabs>
        <w:ind w:left="1800" w:hanging="360"/>
      </w:pPr>
      <w:rPr>
        <w:rFonts w:ascii="Arial" w:hAnsi="Arial" w:hint="default"/>
      </w:rPr>
    </w:lvl>
    <w:lvl w:ilvl="3" w:tplc="A2926118">
      <w:start w:val="1"/>
      <w:numFmt w:val="bullet"/>
      <w:lvlText w:val="•"/>
      <w:lvlJc w:val="left"/>
      <w:pPr>
        <w:tabs>
          <w:tab w:val="num" w:pos="2520"/>
        </w:tabs>
        <w:ind w:left="2520" w:hanging="360"/>
      </w:pPr>
      <w:rPr>
        <w:rFonts w:ascii="Arial" w:hAnsi="Arial" w:hint="default"/>
      </w:rPr>
    </w:lvl>
    <w:lvl w:ilvl="4" w:tplc="4E9E70E8">
      <w:start w:val="1"/>
      <w:numFmt w:val="bullet"/>
      <w:lvlText w:val="•"/>
      <w:lvlJc w:val="left"/>
      <w:pPr>
        <w:tabs>
          <w:tab w:val="num" w:pos="3240"/>
        </w:tabs>
        <w:ind w:left="3240" w:hanging="360"/>
      </w:pPr>
      <w:rPr>
        <w:rFonts w:ascii="Arial" w:hAnsi="Arial" w:hint="default"/>
      </w:rPr>
    </w:lvl>
    <w:lvl w:ilvl="5" w:tplc="1272F348" w:tentative="1">
      <w:start w:val="1"/>
      <w:numFmt w:val="bullet"/>
      <w:lvlText w:val="•"/>
      <w:lvlJc w:val="left"/>
      <w:pPr>
        <w:tabs>
          <w:tab w:val="num" w:pos="3960"/>
        </w:tabs>
        <w:ind w:left="3960" w:hanging="360"/>
      </w:pPr>
      <w:rPr>
        <w:rFonts w:ascii="Arial" w:hAnsi="Arial" w:hint="default"/>
      </w:rPr>
    </w:lvl>
    <w:lvl w:ilvl="6" w:tplc="C890D522" w:tentative="1">
      <w:start w:val="1"/>
      <w:numFmt w:val="bullet"/>
      <w:lvlText w:val="•"/>
      <w:lvlJc w:val="left"/>
      <w:pPr>
        <w:tabs>
          <w:tab w:val="num" w:pos="4680"/>
        </w:tabs>
        <w:ind w:left="4680" w:hanging="360"/>
      </w:pPr>
      <w:rPr>
        <w:rFonts w:ascii="Arial" w:hAnsi="Arial" w:hint="default"/>
      </w:rPr>
    </w:lvl>
    <w:lvl w:ilvl="7" w:tplc="0B0C0B18" w:tentative="1">
      <w:start w:val="1"/>
      <w:numFmt w:val="bullet"/>
      <w:lvlText w:val="•"/>
      <w:lvlJc w:val="left"/>
      <w:pPr>
        <w:tabs>
          <w:tab w:val="num" w:pos="5400"/>
        </w:tabs>
        <w:ind w:left="5400" w:hanging="360"/>
      </w:pPr>
      <w:rPr>
        <w:rFonts w:ascii="Arial" w:hAnsi="Arial" w:hint="default"/>
      </w:rPr>
    </w:lvl>
    <w:lvl w:ilvl="8" w:tplc="03AE736A"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65541AAA"/>
    <w:multiLevelType w:val="hybridMultilevel"/>
    <w:tmpl w:val="F0EE7178"/>
    <w:lvl w:ilvl="0" w:tplc="DA7C5568">
      <w:numFmt w:val="bullet"/>
      <w:lvlText w:val="-"/>
      <w:lvlJc w:val="left"/>
      <w:pPr>
        <w:ind w:left="720" w:hanging="360"/>
      </w:pPr>
      <w:rPr>
        <w:rFonts w:ascii="Century Gothic" w:eastAsia="Calibri" w:hAnsi="Century Gothic"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7451E8B"/>
    <w:multiLevelType w:val="hybridMultilevel"/>
    <w:tmpl w:val="CC7C66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BA57122"/>
    <w:multiLevelType w:val="hybridMultilevel"/>
    <w:tmpl w:val="E6586A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EF87234"/>
    <w:multiLevelType w:val="hybridMultilevel"/>
    <w:tmpl w:val="318C1B22"/>
    <w:lvl w:ilvl="0" w:tplc="0408000F">
      <w:start w:val="8"/>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6"/>
  </w:num>
  <w:num w:numId="3">
    <w:abstractNumId w:val="11"/>
  </w:num>
  <w:num w:numId="4">
    <w:abstractNumId w:val="5"/>
  </w:num>
  <w:num w:numId="5">
    <w:abstractNumId w:val="4"/>
  </w:num>
  <w:num w:numId="6">
    <w:abstractNumId w:val="12"/>
  </w:num>
  <w:num w:numId="7">
    <w:abstractNumId w:val="10"/>
  </w:num>
  <w:num w:numId="8">
    <w:abstractNumId w:val="7"/>
  </w:num>
  <w:num w:numId="9">
    <w:abstractNumId w:val="8"/>
  </w:num>
  <w:num w:numId="10">
    <w:abstractNumId w:val="1"/>
  </w:num>
  <w:num w:numId="11">
    <w:abstractNumId w:val="0"/>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6A2"/>
    <w:rsid w:val="00146417"/>
    <w:rsid w:val="001757D6"/>
    <w:rsid w:val="002426A2"/>
    <w:rsid w:val="002B148B"/>
    <w:rsid w:val="002D7CB8"/>
    <w:rsid w:val="002E630A"/>
    <w:rsid w:val="00411498"/>
    <w:rsid w:val="004C0581"/>
    <w:rsid w:val="004E2017"/>
    <w:rsid w:val="005A40F1"/>
    <w:rsid w:val="006166BD"/>
    <w:rsid w:val="0063151C"/>
    <w:rsid w:val="00654C04"/>
    <w:rsid w:val="006B0388"/>
    <w:rsid w:val="00800A1E"/>
    <w:rsid w:val="00824655"/>
    <w:rsid w:val="00865AAD"/>
    <w:rsid w:val="008E5A12"/>
    <w:rsid w:val="009D3B5A"/>
    <w:rsid w:val="00A0046C"/>
    <w:rsid w:val="00A11C18"/>
    <w:rsid w:val="00BA2A70"/>
    <w:rsid w:val="00BF36B3"/>
    <w:rsid w:val="00C31D13"/>
    <w:rsid w:val="00D60577"/>
    <w:rsid w:val="00D60F85"/>
    <w:rsid w:val="00D85316"/>
    <w:rsid w:val="00ED02DE"/>
    <w:rsid w:val="00F0621E"/>
    <w:rsid w:val="00F11D4D"/>
    <w:rsid w:val="00F85E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BB522"/>
  <w15:chartTrackingRefBased/>
  <w15:docId w15:val="{17C35B44-3F10-4462-BDC5-B71672E0A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017"/>
    <w:pPr>
      <w:spacing w:after="200" w:line="276" w:lineRule="auto"/>
    </w:pPr>
    <w:rPr>
      <w:rFonts w:ascii="Albertus Medium" w:eastAsia="Calibri" w:hAnsi="Albertus Medium"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unhideWhenUsed/>
    <w:rsid w:val="00411498"/>
    <w:rPr>
      <w:sz w:val="16"/>
      <w:szCs w:val="16"/>
    </w:rPr>
  </w:style>
  <w:style w:type="paragraph" w:styleId="a4">
    <w:name w:val="annotation text"/>
    <w:basedOn w:val="a"/>
    <w:link w:val="Char"/>
    <w:semiHidden/>
    <w:unhideWhenUsed/>
    <w:rsid w:val="00411498"/>
    <w:pPr>
      <w:spacing w:line="240" w:lineRule="auto"/>
      <w:jc w:val="both"/>
    </w:pPr>
    <w:rPr>
      <w:rFonts w:asciiTheme="minorHAnsi" w:eastAsia="MS Mincho" w:hAnsiTheme="minorHAnsi" w:cstheme="minorBidi"/>
      <w:sz w:val="20"/>
      <w:szCs w:val="20"/>
    </w:rPr>
  </w:style>
  <w:style w:type="character" w:customStyle="1" w:styleId="Char">
    <w:name w:val="Κείμενο σχολίου Char"/>
    <w:basedOn w:val="a0"/>
    <w:link w:val="a4"/>
    <w:semiHidden/>
    <w:rsid w:val="00411498"/>
    <w:rPr>
      <w:rFonts w:eastAsia="MS Mincho"/>
      <w:sz w:val="20"/>
      <w:szCs w:val="20"/>
      <w:lang w:val="en-US"/>
    </w:rPr>
  </w:style>
  <w:style w:type="paragraph" w:styleId="a5">
    <w:name w:val="header"/>
    <w:basedOn w:val="a"/>
    <w:link w:val="Char0"/>
    <w:uiPriority w:val="99"/>
    <w:unhideWhenUsed/>
    <w:rsid w:val="00411498"/>
    <w:pPr>
      <w:tabs>
        <w:tab w:val="center" w:pos="4320"/>
        <w:tab w:val="right" w:pos="8640"/>
      </w:tabs>
      <w:spacing w:after="0" w:line="240" w:lineRule="auto"/>
    </w:pPr>
  </w:style>
  <w:style w:type="character" w:customStyle="1" w:styleId="Char0">
    <w:name w:val="Κεφαλίδα Char"/>
    <w:basedOn w:val="a0"/>
    <w:link w:val="a5"/>
    <w:uiPriority w:val="99"/>
    <w:rsid w:val="00411498"/>
    <w:rPr>
      <w:lang w:val="en-US"/>
    </w:rPr>
  </w:style>
  <w:style w:type="paragraph" w:styleId="a6">
    <w:name w:val="footer"/>
    <w:basedOn w:val="a"/>
    <w:link w:val="Char1"/>
    <w:uiPriority w:val="99"/>
    <w:unhideWhenUsed/>
    <w:rsid w:val="00411498"/>
    <w:pPr>
      <w:tabs>
        <w:tab w:val="center" w:pos="4320"/>
        <w:tab w:val="right" w:pos="8640"/>
      </w:tabs>
      <w:spacing w:after="0" w:line="240" w:lineRule="auto"/>
    </w:pPr>
    <w:rPr>
      <w:rFonts w:asciiTheme="minorHAnsi" w:eastAsiaTheme="minorHAnsi" w:hAnsiTheme="minorHAnsi" w:cstheme="minorBidi"/>
      <w:sz w:val="22"/>
      <w:szCs w:val="22"/>
    </w:rPr>
  </w:style>
  <w:style w:type="character" w:customStyle="1" w:styleId="Char1">
    <w:name w:val="Υποσέλιδο Char"/>
    <w:basedOn w:val="a0"/>
    <w:link w:val="a6"/>
    <w:uiPriority w:val="99"/>
    <w:rsid w:val="00411498"/>
    <w:rPr>
      <w:lang w:val="en-US"/>
    </w:rPr>
  </w:style>
  <w:style w:type="character" w:styleId="-">
    <w:name w:val="Hyperlink"/>
    <w:basedOn w:val="a0"/>
    <w:uiPriority w:val="99"/>
    <w:unhideWhenUsed/>
    <w:rsid w:val="00411498"/>
    <w:rPr>
      <w:color w:val="0563C1" w:themeColor="hyperlink"/>
      <w:u w:val="single"/>
    </w:rPr>
  </w:style>
  <w:style w:type="paragraph" w:styleId="a7">
    <w:name w:val="Balloon Text"/>
    <w:basedOn w:val="a"/>
    <w:link w:val="Char2"/>
    <w:uiPriority w:val="99"/>
    <w:semiHidden/>
    <w:unhideWhenUsed/>
    <w:rsid w:val="00411498"/>
    <w:pPr>
      <w:spacing w:after="0" w:line="240" w:lineRule="auto"/>
    </w:pPr>
    <w:rPr>
      <w:rFonts w:ascii="Segoe UI" w:hAnsi="Segoe UI" w:cs="Segoe UI"/>
      <w:sz w:val="18"/>
      <w:szCs w:val="18"/>
    </w:rPr>
  </w:style>
  <w:style w:type="character" w:customStyle="1" w:styleId="Char2">
    <w:name w:val="Κείμενο πλαισίου Char"/>
    <w:basedOn w:val="a0"/>
    <w:link w:val="a7"/>
    <w:uiPriority w:val="99"/>
    <w:semiHidden/>
    <w:rsid w:val="00411498"/>
    <w:rPr>
      <w:rFonts w:ascii="Segoe UI" w:hAnsi="Segoe UI" w:cs="Segoe UI"/>
      <w:sz w:val="18"/>
      <w:szCs w:val="18"/>
      <w:lang w:val="en-US"/>
    </w:rPr>
  </w:style>
  <w:style w:type="table" w:styleId="a8">
    <w:name w:val="Table Grid"/>
    <w:basedOn w:val="a1"/>
    <w:uiPriority w:val="59"/>
    <w:rsid w:val="004E2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6B0388"/>
    <w:pPr>
      <w:ind w:left="720"/>
      <w:contextualSpacing/>
    </w:pPr>
  </w:style>
  <w:style w:type="paragraph" w:styleId="aa">
    <w:name w:val="footnote text"/>
    <w:basedOn w:val="a"/>
    <w:link w:val="Char3"/>
    <w:uiPriority w:val="99"/>
    <w:semiHidden/>
    <w:unhideWhenUsed/>
    <w:rsid w:val="009D3B5A"/>
    <w:pPr>
      <w:spacing w:after="0" w:line="240" w:lineRule="auto"/>
      <w:ind w:left="1434" w:hanging="357"/>
    </w:pPr>
    <w:rPr>
      <w:rFonts w:asciiTheme="minorHAnsi" w:eastAsiaTheme="minorHAnsi" w:hAnsiTheme="minorHAnsi" w:cstheme="minorBidi"/>
      <w:sz w:val="20"/>
      <w:szCs w:val="20"/>
      <w:lang w:val="el-GR"/>
    </w:rPr>
  </w:style>
  <w:style w:type="character" w:customStyle="1" w:styleId="Char3">
    <w:name w:val="Κείμενο υποσημείωσης Char"/>
    <w:basedOn w:val="a0"/>
    <w:link w:val="aa"/>
    <w:uiPriority w:val="99"/>
    <w:semiHidden/>
    <w:rsid w:val="009D3B5A"/>
    <w:rPr>
      <w:sz w:val="20"/>
      <w:szCs w:val="20"/>
    </w:rPr>
  </w:style>
  <w:style w:type="character" w:styleId="ab">
    <w:name w:val="footnote reference"/>
    <w:basedOn w:val="a0"/>
    <w:uiPriority w:val="99"/>
    <w:unhideWhenUsed/>
    <w:rsid w:val="009D3B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26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_________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______________Microsoft_Excel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Φύλλο1!$B$1</c:f>
              <c:strCache>
                <c:ptCount val="1"/>
                <c:pt idx="0">
                  <c:v>Στήλη1</c:v>
                </c:pt>
              </c:strCache>
            </c:strRef>
          </c:tx>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dPt>
          <c:dPt>
            <c:idx val="2"/>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dPt>
          <c:dPt>
            <c:idx val="3"/>
            <c:bubble3D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dPt>
          <c:dPt>
            <c:idx val="4"/>
            <c:bubble3D val="0"/>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chemeClr>
                </a:solidFill>
                <a:round/>
              </a:ln>
              <a:effectLst>
                <a:outerShdw blurRad="40000" dist="20000" dir="5400000" rotWithShape="0">
                  <a:srgbClr val="000000">
                    <a:alpha val="38000"/>
                  </a:srgbClr>
                </a:outerShdw>
              </a:effectLst>
            </c:spPr>
          </c:dPt>
          <c:dPt>
            <c:idx val="5"/>
            <c:bubble3D val="0"/>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chemeClr>
                </a:solidFill>
                <a:round/>
              </a:ln>
              <a:effectLst>
                <a:outerShdw blurRad="40000" dist="20000" dir="5400000" rotWithShape="0">
                  <a:srgbClr val="000000">
                    <a:alpha val="38000"/>
                  </a:srgbClr>
                </a:outerShdw>
              </a:effectLst>
            </c:spPr>
          </c:dPt>
          <c:dPt>
            <c:idx val="6"/>
            <c:bubble3D val="0"/>
            <c:spPr>
              <a:gradFill rotWithShape="1">
                <a:gsLst>
                  <a:gs pos="0">
                    <a:schemeClr val="accent1">
                      <a:lumMod val="60000"/>
                      <a:tint val="50000"/>
                      <a:satMod val="300000"/>
                    </a:schemeClr>
                  </a:gs>
                  <a:gs pos="35000">
                    <a:schemeClr val="accent1">
                      <a:lumMod val="60000"/>
                      <a:tint val="37000"/>
                      <a:satMod val="300000"/>
                    </a:schemeClr>
                  </a:gs>
                  <a:gs pos="100000">
                    <a:schemeClr val="accent1">
                      <a:lumMod val="60000"/>
                      <a:tint val="15000"/>
                      <a:satMod val="350000"/>
                    </a:schemeClr>
                  </a:gs>
                </a:gsLst>
                <a:lin ang="16200000" scaled="1"/>
              </a:gradFill>
              <a:ln w="9525" cap="flat" cmpd="sng" algn="ctr">
                <a:solidFill>
                  <a:schemeClr val="accent1">
                    <a:lumMod val="60000"/>
                    <a:shade val="95000"/>
                  </a:schemeClr>
                </a:solidFill>
                <a:round/>
              </a:ln>
              <a:effectLst>
                <a:outerShdw blurRad="40000" dist="20000" dir="5400000" rotWithShape="0">
                  <a:srgbClr val="000000">
                    <a:alpha val="38000"/>
                  </a:srgbClr>
                </a:outerShdw>
              </a:effectLst>
            </c:spPr>
          </c:dPt>
          <c:dPt>
            <c:idx val="7"/>
            <c:bubble3D val="0"/>
            <c:spPr>
              <a:gradFill rotWithShape="1">
                <a:gsLst>
                  <a:gs pos="0">
                    <a:schemeClr val="accent2">
                      <a:lumMod val="60000"/>
                      <a:tint val="50000"/>
                      <a:satMod val="300000"/>
                    </a:schemeClr>
                  </a:gs>
                  <a:gs pos="35000">
                    <a:schemeClr val="accent2">
                      <a:lumMod val="60000"/>
                      <a:tint val="37000"/>
                      <a:satMod val="300000"/>
                    </a:schemeClr>
                  </a:gs>
                  <a:gs pos="100000">
                    <a:schemeClr val="accent2">
                      <a:lumMod val="60000"/>
                      <a:tint val="15000"/>
                      <a:satMod val="350000"/>
                    </a:schemeClr>
                  </a:gs>
                </a:gsLst>
                <a:lin ang="16200000" scaled="1"/>
              </a:gradFill>
              <a:ln w="9525" cap="flat" cmpd="sng" algn="ctr">
                <a:solidFill>
                  <a:schemeClr val="accent2">
                    <a:lumMod val="60000"/>
                    <a:shade val="95000"/>
                  </a:schemeClr>
                </a:solidFill>
                <a:round/>
              </a:ln>
              <a:effectLst>
                <a:outerShdw blurRad="40000" dist="20000" dir="5400000" rotWithShape="0">
                  <a:srgbClr val="000000">
                    <a:alpha val="38000"/>
                  </a:srgbClr>
                </a:outerShdw>
              </a:effectLst>
            </c:spPr>
          </c:dPt>
          <c:dPt>
            <c:idx val="8"/>
            <c:bubble3D val="0"/>
            <c:spPr>
              <a:gradFill rotWithShape="1">
                <a:gsLst>
                  <a:gs pos="0">
                    <a:schemeClr val="accent3">
                      <a:lumMod val="60000"/>
                      <a:tint val="50000"/>
                      <a:satMod val="300000"/>
                    </a:schemeClr>
                  </a:gs>
                  <a:gs pos="35000">
                    <a:schemeClr val="accent3">
                      <a:lumMod val="60000"/>
                      <a:tint val="37000"/>
                      <a:satMod val="300000"/>
                    </a:schemeClr>
                  </a:gs>
                  <a:gs pos="100000">
                    <a:schemeClr val="accent3">
                      <a:lumMod val="60000"/>
                      <a:tint val="15000"/>
                      <a:satMod val="350000"/>
                    </a:schemeClr>
                  </a:gs>
                </a:gsLst>
                <a:lin ang="16200000" scaled="1"/>
              </a:gradFill>
              <a:ln w="9525" cap="flat" cmpd="sng" algn="ctr">
                <a:solidFill>
                  <a:schemeClr val="accent3">
                    <a:lumMod val="60000"/>
                    <a:shade val="95000"/>
                  </a:schemeClr>
                </a:solidFill>
                <a:round/>
              </a:ln>
              <a:effectLst>
                <a:outerShdw blurRad="40000" dist="20000" dir="5400000" rotWithShape="0">
                  <a:srgbClr val="000000">
                    <a:alpha val="38000"/>
                  </a:srgbClr>
                </a:outerShdw>
              </a:effectLst>
            </c:spPr>
          </c:dPt>
          <c:dPt>
            <c:idx val="9"/>
            <c:bubble3D val="0"/>
            <c:spPr>
              <a:gradFill rotWithShape="1">
                <a:gsLst>
                  <a:gs pos="0">
                    <a:schemeClr val="accent4">
                      <a:lumMod val="60000"/>
                      <a:tint val="50000"/>
                      <a:satMod val="300000"/>
                    </a:schemeClr>
                  </a:gs>
                  <a:gs pos="35000">
                    <a:schemeClr val="accent4">
                      <a:lumMod val="60000"/>
                      <a:tint val="37000"/>
                      <a:satMod val="300000"/>
                    </a:schemeClr>
                  </a:gs>
                  <a:gs pos="100000">
                    <a:schemeClr val="accent4">
                      <a:lumMod val="60000"/>
                      <a:tint val="15000"/>
                      <a:satMod val="350000"/>
                    </a:schemeClr>
                  </a:gs>
                </a:gsLst>
                <a:lin ang="16200000" scaled="1"/>
              </a:gradFill>
              <a:ln w="9525" cap="flat" cmpd="sng" algn="ctr">
                <a:solidFill>
                  <a:schemeClr val="accent4">
                    <a:lumMod val="60000"/>
                    <a:shade val="95000"/>
                  </a:schemeClr>
                </a:solidFill>
                <a:round/>
              </a:ln>
              <a:effectLst>
                <a:outerShdw blurRad="40000" dist="20000" dir="5400000" rotWithShape="0">
                  <a:srgbClr val="000000">
                    <a:alpha val="38000"/>
                  </a:srgbClr>
                </a:outerShdw>
              </a:effectLst>
            </c:spPr>
          </c:dPt>
          <c:dPt>
            <c:idx val="10"/>
            <c:bubble3D val="0"/>
            <c:spPr>
              <a:gradFill rotWithShape="1">
                <a:gsLst>
                  <a:gs pos="0">
                    <a:schemeClr val="accent5">
                      <a:lumMod val="60000"/>
                      <a:tint val="50000"/>
                      <a:satMod val="300000"/>
                    </a:schemeClr>
                  </a:gs>
                  <a:gs pos="35000">
                    <a:schemeClr val="accent5">
                      <a:lumMod val="60000"/>
                      <a:tint val="37000"/>
                      <a:satMod val="300000"/>
                    </a:schemeClr>
                  </a:gs>
                  <a:gs pos="100000">
                    <a:schemeClr val="accent5">
                      <a:lumMod val="60000"/>
                      <a:tint val="15000"/>
                      <a:satMod val="350000"/>
                    </a:schemeClr>
                  </a:gs>
                </a:gsLst>
                <a:lin ang="16200000" scaled="1"/>
              </a:gradFill>
              <a:ln w="9525" cap="flat" cmpd="sng" algn="ctr">
                <a:solidFill>
                  <a:schemeClr val="accent5">
                    <a:lumMod val="60000"/>
                    <a:shade val="95000"/>
                  </a:schemeClr>
                </a:solidFill>
                <a:round/>
              </a:ln>
              <a:effectLst>
                <a:outerShdw blurRad="40000" dist="20000" dir="5400000" rotWithShape="0">
                  <a:srgbClr val="000000">
                    <a:alpha val="38000"/>
                  </a:srgbClr>
                </a:outerShdw>
              </a:effectLst>
            </c:spPr>
          </c:dPt>
          <c:dPt>
            <c:idx val="11"/>
            <c:bubble3D val="0"/>
            <c:spPr>
              <a:gradFill rotWithShape="1">
                <a:gsLst>
                  <a:gs pos="0">
                    <a:schemeClr val="accent6">
                      <a:lumMod val="60000"/>
                      <a:tint val="50000"/>
                      <a:satMod val="300000"/>
                    </a:schemeClr>
                  </a:gs>
                  <a:gs pos="35000">
                    <a:schemeClr val="accent6">
                      <a:lumMod val="60000"/>
                      <a:tint val="37000"/>
                      <a:satMod val="300000"/>
                    </a:schemeClr>
                  </a:gs>
                  <a:gs pos="100000">
                    <a:schemeClr val="accent6">
                      <a:lumMod val="60000"/>
                      <a:tint val="15000"/>
                      <a:satMod val="350000"/>
                    </a:schemeClr>
                  </a:gs>
                </a:gsLst>
                <a:lin ang="16200000" scaled="1"/>
              </a:gradFill>
              <a:ln w="9525" cap="flat" cmpd="sng" algn="ctr">
                <a:solidFill>
                  <a:schemeClr val="accent6">
                    <a:lumMod val="60000"/>
                    <a:shade val="95000"/>
                  </a:schemeClr>
                </a:solidFill>
                <a:round/>
              </a:ln>
              <a:effectLst>
                <a:outerShdw blurRad="40000" dist="20000" dir="5400000" rotWithShape="0">
                  <a:srgbClr val="000000">
                    <a:alpha val="38000"/>
                  </a:srgbClr>
                </a:outerShdw>
              </a:effectLst>
            </c:spPr>
          </c:dPt>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l-GR"/>
              </a:p>
            </c:txP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Φύλλο1!$A$2:$A$13</c:f>
              <c:strCache>
                <c:ptCount val="12"/>
                <c:pt idx="0">
                  <c:v>Γεωργία, Δασοκομία, Αλιεία</c:v>
                </c:pt>
                <c:pt idx="1">
                  <c:v>Ορυχεία και Λατομεία</c:v>
                </c:pt>
                <c:pt idx="2">
                  <c:v>Μεταποίηση</c:v>
                </c:pt>
                <c:pt idx="3">
                  <c:v>Κατασκευές</c:v>
                </c:pt>
                <c:pt idx="4">
                  <c:v>Χονδρικό και Λιανικό Εμπόριο, Επισκευές Οχημάτων</c:v>
                </c:pt>
                <c:pt idx="5">
                  <c:v>Υπηρεσίες παροχής καταλύματος και εστίασης</c:v>
                </c:pt>
                <c:pt idx="6">
                  <c:v>Αποθηκεύσεις και μεταφορές πλην πλωτών μεταφορών</c:v>
                </c:pt>
                <c:pt idx="7">
                  <c:v>Διαχείριση ακίνητης περιουσίας</c:v>
                </c:pt>
                <c:pt idx="8">
                  <c:v>Ελεύθεροι επαγγελματίες, αγρότες, ατομικές επιχ.</c:v>
                </c:pt>
                <c:pt idx="9">
                  <c:v>Λοιποί κλάδοι</c:v>
                </c:pt>
                <c:pt idx="10">
                  <c:v>Πίστη Ιδιωτών</c:v>
                </c:pt>
                <c:pt idx="11">
                  <c:v>Προς Δημόσιο</c:v>
                </c:pt>
              </c:strCache>
            </c:strRef>
          </c:cat>
          <c:val>
            <c:numRef>
              <c:f>Φύλλο1!$B$2:$B$13</c:f>
              <c:numCache>
                <c:formatCode>General</c:formatCode>
                <c:ptCount val="12"/>
                <c:pt idx="0" formatCode="#,##0">
                  <c:v>5197</c:v>
                </c:pt>
                <c:pt idx="1">
                  <c:v>472</c:v>
                </c:pt>
                <c:pt idx="2" formatCode="#,##0">
                  <c:v>45237</c:v>
                </c:pt>
                <c:pt idx="3" formatCode="#,##0">
                  <c:v>44854</c:v>
                </c:pt>
                <c:pt idx="4" formatCode="#,##0">
                  <c:v>50814</c:v>
                </c:pt>
                <c:pt idx="5" formatCode="#,##0">
                  <c:v>9468</c:v>
                </c:pt>
                <c:pt idx="6" formatCode="#,##0">
                  <c:v>1204</c:v>
                </c:pt>
                <c:pt idx="7">
                  <c:v>700</c:v>
                </c:pt>
                <c:pt idx="8" formatCode="#,##0">
                  <c:v>60659</c:v>
                </c:pt>
                <c:pt idx="9" formatCode="#,##0">
                  <c:v>25586</c:v>
                </c:pt>
                <c:pt idx="10" formatCode="#,##0">
                  <c:v>12386</c:v>
                </c:pt>
                <c:pt idx="11">
                  <c:v>382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dPt>
          <c:dPt>
            <c:idx val="2"/>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dPt>
          <c:dLbls>
            <c:dLbl>
              <c:idx val="2"/>
              <c:layout>
                <c:manualLayout>
                  <c:x val="3.8730497229512981E-2"/>
                  <c:y val="8.0874265716785396E-3"/>
                </c:manualLayout>
              </c:layout>
              <c:showLegendKey val="0"/>
              <c:showVal val="0"/>
              <c:showCatName val="0"/>
              <c:showSerName val="0"/>
              <c:showPercent val="1"/>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l-GR"/>
              </a:p>
            </c:txP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Φύλλο1!$A$2:$A$4</c:f>
              <c:strCache>
                <c:ptCount val="3"/>
                <c:pt idx="0">
                  <c:v>Επιχειρηματική Πίστη</c:v>
                </c:pt>
                <c:pt idx="1">
                  <c:v>Πίστη Ιδιωτών</c:v>
                </c:pt>
                <c:pt idx="2">
                  <c:v>Προς Δημόσιο</c:v>
                </c:pt>
              </c:strCache>
            </c:strRef>
          </c:cat>
          <c:val>
            <c:numRef>
              <c:f>Φύλλο1!$B$2:$B$4</c:f>
              <c:numCache>
                <c:formatCode>#,##0</c:formatCode>
                <c:ptCount val="3"/>
                <c:pt idx="0">
                  <c:v>244191</c:v>
                </c:pt>
                <c:pt idx="1">
                  <c:v>12386</c:v>
                </c:pt>
                <c:pt idx="2" formatCode="General">
                  <c:v>382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8959</Words>
  <Characters>48384</Characters>
  <Application>Microsoft Office Word</Application>
  <DocSecurity>0</DocSecurity>
  <Lines>403</Lines>
  <Paragraphs>114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Filio Kavoura</dc:creator>
  <cp:keywords/>
  <dc:description/>
  <cp:lastModifiedBy>Filio Kavoura</cp:lastModifiedBy>
  <cp:revision>5</cp:revision>
  <cp:lastPrinted>2020-04-29T11:37:00Z</cp:lastPrinted>
  <dcterms:created xsi:type="dcterms:W3CDTF">2020-07-15T08:45:00Z</dcterms:created>
  <dcterms:modified xsi:type="dcterms:W3CDTF">2020-07-15T10:46:00Z</dcterms:modified>
</cp:coreProperties>
</file>