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EE9" w:rsidRPr="003F653B" w:rsidRDefault="00672EE9" w:rsidP="00D645F0">
      <w:pPr>
        <w:spacing w:before="120" w:after="0" w:line="240" w:lineRule="auto"/>
        <w:ind w:firstLine="425"/>
        <w:jc w:val="both"/>
        <w:rPr>
          <w:rFonts w:asciiTheme="majorHAnsi" w:hAnsiTheme="majorHAnsi"/>
        </w:rPr>
      </w:pPr>
    </w:p>
    <w:p w:rsidR="00672EE9" w:rsidRPr="003F653B" w:rsidRDefault="00672EE9" w:rsidP="00D645F0">
      <w:pPr>
        <w:spacing w:before="120" w:after="0" w:line="240" w:lineRule="auto"/>
        <w:ind w:firstLine="425"/>
        <w:jc w:val="both"/>
        <w:rPr>
          <w:rFonts w:asciiTheme="majorHAnsi" w:hAnsiTheme="majorHAnsi"/>
        </w:rPr>
      </w:pPr>
      <w:r w:rsidRPr="003F653B">
        <w:rPr>
          <w:rFonts w:asciiTheme="majorHAnsi" w:hAnsiTheme="majorHAnsi"/>
        </w:rPr>
        <w:t xml:space="preserve">Στην ετήσια χρηματοοικονομική έκθεση χρήσης 2017 η οποία είναι ανηρτημένη στην ιστοσελίδα της Τράπεζας υπάρχει μια περιληπτική ανάλυση του οικονομικού περιβάλλοντος στο οποίο </w:t>
      </w:r>
      <w:r w:rsidR="00456488" w:rsidRPr="003F653B">
        <w:rPr>
          <w:rFonts w:asciiTheme="majorHAnsi" w:hAnsiTheme="majorHAnsi"/>
        </w:rPr>
        <w:t xml:space="preserve">αυτή </w:t>
      </w:r>
      <w:r w:rsidRPr="003F653B">
        <w:rPr>
          <w:rFonts w:asciiTheme="majorHAnsi" w:hAnsiTheme="majorHAnsi"/>
        </w:rPr>
        <w:t>δραστηριοποιείται. Για να μη κουράσουμε το σώμα της γενικής συνέλευσης</w:t>
      </w:r>
      <w:r w:rsidR="00456488" w:rsidRPr="003F653B">
        <w:rPr>
          <w:rFonts w:asciiTheme="majorHAnsi" w:hAnsiTheme="majorHAnsi"/>
        </w:rPr>
        <w:t>,</w:t>
      </w:r>
      <w:r w:rsidRPr="003F653B">
        <w:rPr>
          <w:rFonts w:asciiTheme="majorHAnsi" w:hAnsiTheme="majorHAnsi"/>
        </w:rPr>
        <w:t xml:space="preserve"> αναφέρουμε επιγραμματικά τα κυριότερα στοιχεία της. </w:t>
      </w:r>
      <w:r w:rsidR="0030320D" w:rsidRPr="003F653B">
        <w:rPr>
          <w:rFonts w:asciiTheme="majorHAnsi" w:hAnsiTheme="majorHAnsi"/>
        </w:rPr>
        <w:t>Γενικά ήταν μια χρονιά θετικής πορείας για την παγκόσμια, την ευρωπαϊκή και την ελληνική οικονομία η οποία επανήλθε στην ανάπτυξη</w:t>
      </w:r>
      <w:r w:rsidR="00582D0A" w:rsidRPr="003F653B">
        <w:rPr>
          <w:rFonts w:asciiTheme="majorHAnsi" w:hAnsiTheme="majorHAnsi"/>
        </w:rPr>
        <w:t xml:space="preserve">. </w:t>
      </w:r>
      <w:r w:rsidR="00B17226">
        <w:rPr>
          <w:rFonts w:asciiTheme="majorHAnsi" w:hAnsiTheme="majorHAnsi"/>
        </w:rPr>
        <w:t>Στ</w:t>
      </w:r>
      <w:r w:rsidR="00582D0A" w:rsidRPr="003F653B">
        <w:rPr>
          <w:rFonts w:asciiTheme="majorHAnsi" w:hAnsiTheme="majorHAnsi"/>
        </w:rPr>
        <w:t xml:space="preserve">ο ελληνικό  τραπεζικό σύστημα </w:t>
      </w:r>
      <w:r w:rsidR="00B17226">
        <w:rPr>
          <w:rFonts w:asciiTheme="majorHAnsi" w:hAnsiTheme="majorHAnsi"/>
        </w:rPr>
        <w:t>υπήρξε</w:t>
      </w:r>
      <w:r w:rsidR="00582D0A" w:rsidRPr="003F653B">
        <w:rPr>
          <w:rFonts w:asciiTheme="majorHAnsi" w:hAnsiTheme="majorHAnsi"/>
        </w:rPr>
        <w:t xml:space="preserve"> α</w:t>
      </w:r>
      <w:r w:rsidR="00B17226">
        <w:rPr>
          <w:rFonts w:asciiTheme="majorHAnsi" w:hAnsiTheme="majorHAnsi"/>
        </w:rPr>
        <w:t>ύξη</w:t>
      </w:r>
      <w:r w:rsidR="00582D0A" w:rsidRPr="003F653B">
        <w:rPr>
          <w:rFonts w:asciiTheme="majorHAnsi" w:hAnsiTheme="majorHAnsi"/>
        </w:rPr>
        <w:t>σ</w:t>
      </w:r>
      <w:r w:rsidR="00B17226">
        <w:rPr>
          <w:rFonts w:asciiTheme="majorHAnsi" w:hAnsiTheme="majorHAnsi"/>
        </w:rPr>
        <w:t>η</w:t>
      </w:r>
      <w:r w:rsidR="00582D0A" w:rsidRPr="003F653B">
        <w:rPr>
          <w:rFonts w:asciiTheme="majorHAnsi" w:hAnsiTheme="majorHAnsi"/>
        </w:rPr>
        <w:t xml:space="preserve"> στις καταθέσεις </w:t>
      </w:r>
      <w:r w:rsidR="00456488" w:rsidRPr="003F653B">
        <w:rPr>
          <w:rFonts w:asciiTheme="majorHAnsi" w:hAnsiTheme="majorHAnsi"/>
        </w:rPr>
        <w:t xml:space="preserve">μειώνοντας έτσι ακόμη περισσότερο την εξάρτηση από τον ELA </w:t>
      </w:r>
      <w:r w:rsidR="00582D0A" w:rsidRPr="003F653B">
        <w:rPr>
          <w:rFonts w:asciiTheme="majorHAnsi" w:hAnsiTheme="majorHAnsi"/>
        </w:rPr>
        <w:t>και για πρώτη φορά έστω και ο</w:t>
      </w:r>
      <w:r w:rsidR="00456488" w:rsidRPr="003F653B">
        <w:rPr>
          <w:rFonts w:asciiTheme="majorHAnsi" w:hAnsiTheme="majorHAnsi"/>
        </w:rPr>
        <w:t>ριακά θετική πιστωτική επέκταση</w:t>
      </w:r>
      <w:r w:rsidR="00582D0A" w:rsidRPr="003F653B">
        <w:rPr>
          <w:rFonts w:asciiTheme="majorHAnsi" w:hAnsiTheme="majorHAnsi"/>
        </w:rPr>
        <w:t xml:space="preserve"> στις χορηγήσεις για τις επιχειρήσεις. Το μεγάλο πρόβλημα όμως που παραμένει και περιορίζει τη δραστηριοποίηση </w:t>
      </w:r>
      <w:r w:rsidR="00456488" w:rsidRPr="003F653B">
        <w:rPr>
          <w:rFonts w:asciiTheme="majorHAnsi" w:hAnsiTheme="majorHAnsi"/>
        </w:rPr>
        <w:t xml:space="preserve">των πιστωτικών ιδρυμάτων </w:t>
      </w:r>
      <w:r w:rsidR="00582D0A" w:rsidRPr="003F653B">
        <w:rPr>
          <w:rFonts w:asciiTheme="majorHAnsi" w:hAnsiTheme="majorHAnsi"/>
        </w:rPr>
        <w:t xml:space="preserve">για στήριξη της ελληνικής οικονομίας με αποδοτικές δανειοδοτήσεις είναι το ζήτημα των μη εξυπηρετούμενων δανείων.  </w:t>
      </w:r>
      <w:r w:rsidR="0030320D" w:rsidRPr="003F653B">
        <w:rPr>
          <w:rFonts w:asciiTheme="majorHAnsi" w:hAnsiTheme="majorHAnsi"/>
        </w:rPr>
        <w:t xml:space="preserve"> </w:t>
      </w:r>
    </w:p>
    <w:p w:rsidR="00C35691" w:rsidRPr="003F653B" w:rsidRDefault="00C35691" w:rsidP="000664AB">
      <w:pPr>
        <w:spacing w:before="120" w:after="0" w:line="240" w:lineRule="auto"/>
        <w:ind w:firstLine="425"/>
        <w:jc w:val="both"/>
        <w:rPr>
          <w:rFonts w:asciiTheme="majorHAnsi" w:hAnsiTheme="majorHAnsi"/>
          <w:b/>
          <w:bCs/>
          <w:u w:val="single"/>
        </w:rPr>
      </w:pPr>
    </w:p>
    <w:p w:rsidR="000664AB" w:rsidRPr="003F653B" w:rsidRDefault="000664AB" w:rsidP="000664AB">
      <w:pPr>
        <w:spacing w:before="120" w:after="0" w:line="240" w:lineRule="auto"/>
        <w:ind w:firstLine="425"/>
        <w:jc w:val="both"/>
        <w:rPr>
          <w:rFonts w:asciiTheme="majorHAnsi" w:hAnsiTheme="majorHAnsi"/>
        </w:rPr>
      </w:pPr>
      <w:r w:rsidRPr="003F653B">
        <w:rPr>
          <w:rFonts w:asciiTheme="majorHAnsi" w:hAnsiTheme="majorHAnsi"/>
          <w:b/>
          <w:bCs/>
          <w:u w:val="single"/>
        </w:rPr>
        <w:t>Εξελίξεις στη Συνεταιριστική Τράπεζα Θεσσαλίας</w:t>
      </w:r>
      <w:r w:rsidRPr="003F653B">
        <w:rPr>
          <w:rFonts w:asciiTheme="majorHAnsi" w:hAnsiTheme="majorHAnsi"/>
        </w:rPr>
        <w:t xml:space="preserve">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Μέσα σε αυτό το πλαίσιο δραστηριοποιήθηκε η Συνεταιριστική Τράπεζα Θεσσαλίας. Διατηρήθηκε η θετική της απόδοση και κερδοφορία σημειώνοντας σημαντική αύξηση των πελατειακών καταθέσεων και των χορηγήσεων προς πελάτες.</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xml:space="preserve">Η Τράπεζα ανταπεξήλθε σε όλες τις προκλήσεις είτε αυτές αφορούσαν την βελτίωση της αποδοτικότητας, είτε αφορούσαν την τήρηση των εποπτικών δεικτών, είτε αφορούσαν τη βελτίωση της λειτουργικότητας των συστημάτων και των διαδικασιών.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xml:space="preserve">Σημαντικό </w:t>
      </w:r>
      <w:r w:rsidR="00582D0A" w:rsidRPr="003F653B">
        <w:rPr>
          <w:rFonts w:asciiTheme="majorHAnsi" w:hAnsiTheme="majorHAnsi"/>
        </w:rPr>
        <w:t xml:space="preserve">όμως </w:t>
      </w:r>
      <w:r w:rsidRPr="003F653B">
        <w:rPr>
          <w:rFonts w:asciiTheme="majorHAnsi" w:hAnsiTheme="majorHAnsi"/>
        </w:rPr>
        <w:t xml:space="preserve">πρόβλημα παραμένει το υψηλό απόθεμα των μη εξυπηρετούμενων ανοιγμάτων, καθώς η αξιοποίηση των εργαλείων που προέβλεπαν οι νέες διατάξεις  για τα κόκκινα δάνεια, είναι σε αρχικό στάδιο εφαρμογής και δεν έχουν αποδώσει τα αναμενόμενα. </w:t>
      </w:r>
    </w:p>
    <w:p w:rsidR="000664AB"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Το εποπτικό θεσμικό πλαίσιο συνεχίζει να θέτει προκλήσεις, με τη συνεχή αύξηση του απαιτούμενου δείκτη κεφαλαιακής επάρκειας και την εφαρμογή από τη χρήση 2018 του Διεθνούς Προτύπου Χρηματοοικονομικής Αναφοράς (ΔΠΧΑ) 9, με το οποίο θα αυξηθούν ακόμη περισσότερο οι απαιτούμενες προβλέψεις. Αν και η Τράπεζα ξεπερνά τα  όρια που  έχουν τεθεί για την κεφαλαιακή επάρκεια και οι αναμενόμενες προβλέψεις λόγω της εφαρμογής του ΔΠΧΑ 9 είναι απόλυτα διαχειρίσιμες</w:t>
      </w:r>
      <w:r w:rsidR="00582D0A" w:rsidRPr="003F653B">
        <w:rPr>
          <w:rFonts w:asciiTheme="majorHAnsi" w:hAnsiTheme="majorHAnsi"/>
        </w:rPr>
        <w:t>,</w:t>
      </w:r>
      <w:r w:rsidRPr="003F653B">
        <w:rPr>
          <w:rFonts w:asciiTheme="majorHAnsi" w:hAnsiTheme="majorHAnsi"/>
        </w:rPr>
        <w:t xml:space="preserve"> </w:t>
      </w:r>
      <w:r w:rsidR="00582D0A" w:rsidRPr="003F653B">
        <w:rPr>
          <w:rFonts w:asciiTheme="majorHAnsi" w:hAnsiTheme="majorHAnsi"/>
        </w:rPr>
        <w:t>κ</w:t>
      </w:r>
      <w:r w:rsidRPr="003F653B">
        <w:rPr>
          <w:rFonts w:asciiTheme="majorHAnsi" w:hAnsiTheme="majorHAnsi"/>
        </w:rPr>
        <w:t xml:space="preserve">ρίνοντας την οριακή σχέση του δείκτη κεφαλαιακής επάρκειας με τα εποπτικά όρια, το Διοικητικό Συμβούλιο  </w:t>
      </w:r>
      <w:r w:rsidR="00582D0A" w:rsidRPr="003F653B">
        <w:rPr>
          <w:rFonts w:asciiTheme="majorHAnsi" w:hAnsiTheme="majorHAnsi"/>
        </w:rPr>
        <w:t>ε</w:t>
      </w:r>
      <w:r w:rsidRPr="003F653B">
        <w:rPr>
          <w:rFonts w:asciiTheme="majorHAnsi" w:hAnsiTheme="majorHAnsi"/>
        </w:rPr>
        <w:t>ισηγ</w:t>
      </w:r>
      <w:r w:rsidR="00582D0A" w:rsidRPr="003F653B">
        <w:rPr>
          <w:rFonts w:asciiTheme="majorHAnsi" w:hAnsiTheme="majorHAnsi"/>
        </w:rPr>
        <w:t>είται</w:t>
      </w:r>
      <w:r w:rsidRPr="003F653B">
        <w:rPr>
          <w:rFonts w:asciiTheme="majorHAnsi" w:hAnsiTheme="majorHAnsi"/>
        </w:rPr>
        <w:t xml:space="preserve"> στη Γενική Συνέλευση τη μη διανομή μερίσματος και τη μη ρευστοποίηση μερίδων και για τη χρήση 2017.</w:t>
      </w:r>
    </w:p>
    <w:p w:rsidR="00A67503" w:rsidRPr="003F653B" w:rsidRDefault="00A67503" w:rsidP="000664AB">
      <w:pPr>
        <w:spacing w:before="120" w:after="0" w:line="240" w:lineRule="auto"/>
        <w:ind w:firstLine="425"/>
        <w:jc w:val="both"/>
        <w:rPr>
          <w:rFonts w:asciiTheme="majorHAnsi" w:hAnsiTheme="majorHAnsi"/>
        </w:rPr>
      </w:pPr>
    </w:p>
    <w:p w:rsidR="000664AB" w:rsidRPr="003F653B" w:rsidRDefault="000664AB" w:rsidP="000664AB">
      <w:pPr>
        <w:spacing w:before="120" w:after="0" w:line="240" w:lineRule="auto"/>
        <w:ind w:firstLine="425"/>
        <w:jc w:val="both"/>
        <w:rPr>
          <w:rFonts w:asciiTheme="majorHAnsi" w:hAnsiTheme="majorHAnsi"/>
        </w:rPr>
      </w:pPr>
      <w:r w:rsidRPr="003F653B">
        <w:rPr>
          <w:rFonts w:asciiTheme="majorHAnsi" w:hAnsiTheme="majorHAnsi"/>
          <w:b/>
          <w:bCs/>
          <w:u w:val="single"/>
        </w:rPr>
        <w:t>Σημαντικότερες δράσεις για τη χρήση 201</w:t>
      </w:r>
      <w:r w:rsidR="00D645F0" w:rsidRPr="003F653B">
        <w:rPr>
          <w:rFonts w:asciiTheme="majorHAnsi" w:hAnsiTheme="majorHAnsi"/>
          <w:b/>
          <w:bCs/>
          <w:u w:val="single"/>
        </w:rPr>
        <w:t>7</w:t>
      </w:r>
      <w:r w:rsidRPr="003F653B">
        <w:rPr>
          <w:rFonts w:asciiTheme="majorHAnsi" w:hAnsiTheme="majorHAnsi"/>
        </w:rPr>
        <w:t xml:space="preserve">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Σε όλη τη διάρκεια του 2017, η Διοίκηση και οι υπηρεσίες της Τράπεζας ανταπεξήλθαν στα προβλήματα που έθεσε η πραγματικότητα με τις κυριότερες  δραστηριότητες  της για το έτος  να συνοψίζονται στα παρακάτω:</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Συνεχίστηκε η αντιμετώπιση θεμάτων που αφορούσαν τη διαχείριση των capital controls όσον αφορά τα συστήματα και τις διαδικασίες της τράπεζας (ATM, Web Banking κλπ), αλλά και την εξυπηρέτηση της πελατείας της (εγκρίσεις μεταφορών ποσών κλπ).</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Συνεχίστηκε η προσπάθεια διατήρησης κερδοφορίας, με ιδιαίτερη έμφαση στη μείωση των λειτουργικών εξόδων, την αύξηση των μεγεθών και τη μείωση των καθυστερημένων δανείων.</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Διατηρήθηκαν οι θέσεις εργασίας.</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Συνεχίστηκε η βελτίωση των προσφερόμενων υπηρεσιών από το Web Banking με τον εμπλουτισμό υπηρεσιών πληρωμών.</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xml:space="preserve">• Ολοκληρώθηκαν οι διαδικασίες για τη διάθεση τερματικών POS στους πελάτες-εμπόρους της Τράπεζας για πληρωμές με αποδοχή καρτών και </w:t>
      </w:r>
      <w:r w:rsidR="000D25E3" w:rsidRPr="003F653B">
        <w:rPr>
          <w:rFonts w:asciiTheme="majorHAnsi" w:hAnsiTheme="majorHAnsi"/>
        </w:rPr>
        <w:t xml:space="preserve">συνεχίστηκε </w:t>
      </w:r>
      <w:r w:rsidRPr="003F653B">
        <w:rPr>
          <w:rFonts w:asciiTheme="majorHAnsi" w:hAnsiTheme="majorHAnsi"/>
        </w:rPr>
        <w:t>η διάθεση τερματικών POS για όσους πελάτες επιθυμού</w:t>
      </w:r>
      <w:r w:rsidR="000D25E3" w:rsidRPr="003F653B">
        <w:rPr>
          <w:rFonts w:asciiTheme="majorHAnsi" w:hAnsiTheme="majorHAnsi"/>
        </w:rPr>
        <w:t>σαν</w:t>
      </w:r>
      <w:r w:rsidRPr="003F653B">
        <w:rPr>
          <w:rFonts w:asciiTheme="majorHAnsi" w:hAnsiTheme="majorHAnsi"/>
        </w:rPr>
        <w:t xml:space="preserve"> την απόκτηση τερματικού.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Ξεκίνησε η υλοποίηση του έργου για την μεταφορά, ανεξαρτητοποίηση και αναβάθμιση των υπηρεσιών Καρτών, ΑΤΜ και POS από την Τράπεζα Πειραιώς στην Τράπεζα Αττικής.</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Υλοποιήθηκαν νέα συστήματα ενημέρωσης (MIS) της Διοίκησης και των υπηρεσιών της, όσον αφορά τα καλύμματα και τις εγγυήσεις</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Συνεχίστηκαν οι εργασίες αναθεώρησης και αναβάθμισης των εσωτερικών διαδικασιών με σκοπό την  πιστοποίηση της Τράπεζας σύμφωνα με τις νέες αναθεωρημένες εκδόσεις των προτύπων ISO27001:2013 και ISO22301:2012.</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Συνεχίστηκε η συμμετοχή στα προγράμματα του Ταμείου Επιχειρηματικότητας (ΤΕΠΙΧ) με σκοπό την ενίσχυση των τοπικών επιχειρήσεων.</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Συνεχίστηκε η προώθηση διάθεσης εταιρικών μερίδων. Παρά την οικονομική στασιμότητα  συνεχίστηκε η αύξηση του συνεταιριστικού κεφαλαίου με την αγορά μερίδων.</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Πραγματοποιήθηκε εμπλουτισμός τραπεζικών προϊόντων και ασφαλιστικών υπηρεσιών.</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xml:space="preserve">• Πραγματοποιήθηκαν ρυθμίσεις σε πελάτες που αντιμετώπιζαν προβλήματα από την εμβάθυνση της κρίσης, ενώ συνεχίστηκε η προσπάθεια διεκδίκησης με κάθε πρόσφορο νομικό μέσο των καθυστερημένων οφειλών μη συνεργάσιμων δανειοληπτών.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Συνεχίστηκε η διαχείριση του πιστωτικού κινδύνου με την εφαρμογή της συγκεκριμένης πολιτικής ενώ αυστηροποιήθηκε περαιτέρω το πλαίσιο των διαδικασιών έγκρισης νέων χορηγήσεων.</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Συνεχίστηκε η διαμόρφωση των οργανωτικών σχημάτων, πολιτικών και διαδικασιών.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xml:space="preserve">• Εντός του 2017 ολοκληρώθηκαν οι διαδικασίες για την προμήθεια μηχανογραφικής εφαρμογής η οποία θα αποτελέσει την πλήρη πλατφόρμα υποστήριξης των εργασιών της Τράπεζας (core banking system).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Υποβλήθηκε αίτημα στο Ευρωπαϊκό Ταμείο Επενδύσεων (European Investment Fund) για συμμετοχή στο πρόγραμμα EaSI με βάση το οποίο παρέχονται μικροχρηματοδοτήσεις ύψους μέχρι 25.000 ευρώ σε επαγγελματίες και μικρές επιχειρήσεις, οι οποίες είναι εγγυημένες από το Ταμείο. Η πρόταση έχει εγκριθεί και συμβασιοποιηθεί για ποσό 7,5 εκατ. ευρώ.</w:t>
      </w:r>
    </w:p>
    <w:p w:rsidR="005D76E5"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Υποβλήθηκε αίτημα άμεσης χρηματοδότησης 20 εκατ. ευρώ από την Ευρωπαϊκή Τράπεζα Επενδύσεων (European Investment Bank), για μεταφορά πιστώσεων σε μικρομεσαίες επιχειρήσεις. Αναμένεται απάντηση.</w:t>
      </w:r>
    </w:p>
    <w:p w:rsidR="00456488" w:rsidRPr="003F653B" w:rsidRDefault="00456488" w:rsidP="001938F7">
      <w:pPr>
        <w:spacing w:before="120" w:after="0" w:line="240" w:lineRule="auto"/>
        <w:ind w:firstLine="425"/>
        <w:jc w:val="both"/>
        <w:rPr>
          <w:rFonts w:asciiTheme="majorHAnsi" w:hAnsiTheme="majorHAnsi"/>
        </w:rPr>
      </w:pPr>
    </w:p>
    <w:p w:rsidR="00456488" w:rsidRPr="003F653B" w:rsidRDefault="00456488" w:rsidP="001938F7">
      <w:pPr>
        <w:spacing w:before="120" w:after="0" w:line="240" w:lineRule="auto"/>
        <w:ind w:firstLine="425"/>
        <w:jc w:val="both"/>
        <w:rPr>
          <w:rFonts w:asciiTheme="majorHAnsi" w:hAnsiTheme="majorHAnsi"/>
        </w:rPr>
      </w:pPr>
    </w:p>
    <w:p w:rsidR="00456488" w:rsidRPr="003F653B" w:rsidRDefault="00456488" w:rsidP="001938F7">
      <w:pPr>
        <w:spacing w:before="120" w:after="0" w:line="240" w:lineRule="auto"/>
        <w:ind w:firstLine="425"/>
        <w:jc w:val="both"/>
        <w:rPr>
          <w:rFonts w:asciiTheme="majorHAnsi" w:hAnsiTheme="majorHAnsi"/>
        </w:rPr>
      </w:pPr>
    </w:p>
    <w:p w:rsidR="000664AB" w:rsidRPr="003F653B" w:rsidRDefault="000664AB" w:rsidP="000664AB">
      <w:pPr>
        <w:spacing w:before="120" w:after="0" w:line="240" w:lineRule="auto"/>
        <w:ind w:firstLine="425"/>
        <w:jc w:val="both"/>
        <w:rPr>
          <w:rFonts w:asciiTheme="majorHAnsi" w:hAnsiTheme="majorHAnsi"/>
        </w:rPr>
      </w:pPr>
      <w:r w:rsidRPr="003F653B">
        <w:rPr>
          <w:rFonts w:asciiTheme="majorHAnsi" w:hAnsiTheme="majorHAnsi"/>
          <w:b/>
          <w:bCs/>
          <w:u w:val="single"/>
        </w:rPr>
        <w:t>Εξέλιξη οικονομικών μεγεθών</w:t>
      </w:r>
      <w:r w:rsidRPr="003F653B">
        <w:rPr>
          <w:rFonts w:asciiTheme="majorHAnsi" w:hAnsiTheme="majorHAnsi"/>
        </w:rPr>
        <w:t xml:space="preserve">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xml:space="preserve">Οι χρηματοοικονομικές καταστάσεις της χρήσης έχουν συνταχθεί με βάση τα Διεθνή Πρότυπα Χρηματοοικονομικών Αναφορών (ΔΠΧΑ).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u w:val="single"/>
        </w:rPr>
        <w:t>Δάνεια και απαιτήσεις κατά πελατών:</w:t>
      </w:r>
      <w:r w:rsidRPr="003F653B">
        <w:rPr>
          <w:rFonts w:asciiTheme="majorHAnsi" w:hAnsiTheme="majorHAnsi"/>
        </w:rPr>
        <w:t xml:space="preserve"> Το ποσό απαιτήσεων προ προβλέψεων ανήλθε στα 234 εκατ. ευρώ από 212,9 εκατ. την προηγούμενη χρήση</w:t>
      </w:r>
      <w:r w:rsidR="00456488" w:rsidRPr="003F653B">
        <w:rPr>
          <w:rFonts w:asciiTheme="majorHAnsi" w:hAnsiTheme="majorHAnsi"/>
        </w:rPr>
        <w:t xml:space="preserve"> (10%)</w:t>
      </w:r>
      <w:r w:rsidRPr="003F653B">
        <w:rPr>
          <w:rFonts w:asciiTheme="majorHAnsi" w:hAnsiTheme="majorHAnsi"/>
        </w:rPr>
        <w:t xml:space="preserve">. Οι συσσωρευμένες προβλέψεις στη χρήση 2017 είναι 67,1 εκατ. ευρώ αυξημένες κατά 3,4% σε σχέση με την προηγούμενη χρήση (64,8 εκατ. ευρώ).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u w:val="single"/>
        </w:rPr>
        <w:t>Χρεόγραφα εμπορικού χαρτοφυλακίου:</w:t>
      </w:r>
      <w:r w:rsidRPr="003F653B">
        <w:rPr>
          <w:rFonts w:asciiTheme="majorHAnsi" w:hAnsiTheme="majorHAnsi"/>
        </w:rPr>
        <w:t xml:space="preserve"> Ποσό ύψους 34 χιλ ευρώ και η μεταβολή σε σχέση με την προηγούμενη χρήση αφορά αποτιμήσεις εύλογης αξίας.</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u w:val="single"/>
        </w:rPr>
        <w:t xml:space="preserve">Χρεόγραφα διαθέσιμα προς πώληση: </w:t>
      </w:r>
      <w:r w:rsidRPr="003F653B">
        <w:rPr>
          <w:rFonts w:asciiTheme="majorHAnsi" w:hAnsiTheme="majorHAnsi"/>
        </w:rPr>
        <w:t>Περιλαμβάνει συμμετοχές προς επιχειρήσεις και το ποσό της χρήσης 2017 ύψους 46 χιλ. ευρώ παρέμεινε το ίδιο σε σχέση με το προηγούμενο έτος. Η συμμετοχή στην Πανελλήνια Τράπεζα ύψους 3,1 εκατ ευρώ έχει απομειωθεί ολοσχερώς, όπως και λοιπές συμμετοχές ύψους 41 χιλ. ευρώ.</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u w:val="single"/>
        </w:rPr>
        <w:t>Ιδιοχρησιμοποιούμενα ενσώματα πάγια:</w:t>
      </w:r>
      <w:r w:rsidRPr="003F653B">
        <w:rPr>
          <w:rFonts w:asciiTheme="majorHAnsi" w:hAnsiTheme="majorHAnsi"/>
        </w:rPr>
        <w:t xml:space="preserve"> Το ποσό ανήλθε στα 5,5 εκατ. ευρώ στα ίδια επίπεδα με την πρ</w:t>
      </w:r>
      <w:r w:rsidRPr="003F653B">
        <w:rPr>
          <w:rFonts w:asciiTheme="majorHAnsi" w:hAnsiTheme="majorHAnsi"/>
          <w:lang w:val="en-US"/>
        </w:rPr>
        <w:t>o</w:t>
      </w:r>
      <w:r w:rsidRPr="003F653B">
        <w:rPr>
          <w:rFonts w:asciiTheme="majorHAnsi" w:hAnsiTheme="majorHAnsi"/>
        </w:rPr>
        <w:t>ηγούμενη χρήση. Οι προσθήκες αφορούν κυρίως μηχανογραφικό εξοπλισμό.</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u w:val="single"/>
        </w:rPr>
        <w:t>Άυλο ενεργητικό:</w:t>
      </w:r>
      <w:r w:rsidRPr="003F653B">
        <w:rPr>
          <w:rFonts w:asciiTheme="majorHAnsi" w:hAnsiTheme="majorHAnsi"/>
        </w:rPr>
        <w:t xml:space="preserve"> Αφορά μόνο έξοδα μηχανογραφικών εφαρμογών και εγκαταστάσεων ανερχόμενο στα 147 χιλ ευρώ.</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u w:val="single"/>
        </w:rPr>
        <w:t>Αναβαλλόμενες φορολογικές απαιτήσεις:</w:t>
      </w:r>
      <w:r w:rsidRPr="003F653B">
        <w:rPr>
          <w:rFonts w:asciiTheme="majorHAnsi" w:hAnsiTheme="majorHAnsi"/>
        </w:rPr>
        <w:t xml:space="preserve"> Ποσό 8,9 εκατ. ευρώ, που περιλαμβάνει αναβαλλόμενη φορολογική απαίτηση ποσού Ευρώ 7,8 εκ που εμπίπτει στο άρθρο 27Α του Ν.4172/2013 και υπό προϋποθέσεις μετατρέπεται σε οριστική φορολογική απαίτηση από το Ελληνικό Δημόσιο.</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u w:val="single"/>
        </w:rPr>
        <w:t>Λοιπές απαιτήσεις:</w:t>
      </w:r>
      <w:r w:rsidRPr="003F653B">
        <w:rPr>
          <w:rFonts w:asciiTheme="majorHAnsi" w:hAnsiTheme="majorHAnsi"/>
        </w:rPr>
        <w:t xml:space="preserve"> Ποσό στη χρήση αναφοράς 6,9 εκατ. ευρώ εκ του οποίου τα σημαντικότερα ποσά είναι η απαίτηση από το ΤΕΚΕ ύψους 4 εκατ. ευρώ και τα ακίνητα από πλειστηριασμούς ύψους 2,7 εκατ. ευρώ.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u w:val="single"/>
        </w:rPr>
        <w:t>Ταμειακά ισοδύναμα:</w:t>
      </w:r>
      <w:r w:rsidRPr="003F653B">
        <w:rPr>
          <w:rFonts w:asciiTheme="majorHAnsi" w:hAnsiTheme="majorHAnsi"/>
        </w:rPr>
        <w:t xml:space="preserve"> Αποτελούνται από τους λογαριασμούς ταμείου, καταθέσεων στην κεντρική τράπεζα και καταθέσεων σε πιστωτικά ιδρύματα και ανήλθαν στη χρήση 2017 στα 9,3 εκατ. ευρώ από 9,5 εκατ. ευρώ το 2016.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u w:val="single"/>
        </w:rPr>
        <w:t>Υποχρεώσεις προς πιστωτικά ιδρύματα:</w:t>
      </w:r>
      <w:r w:rsidRPr="003F653B">
        <w:rPr>
          <w:rFonts w:asciiTheme="majorHAnsi" w:hAnsiTheme="majorHAnsi"/>
        </w:rPr>
        <w:t xml:space="preserve"> Ανέρχονται σε 1,2 εκατ. ευρώ και στο μέγεθος συμπεριλαμβάνεται δάνειο από ελληνική τράπεζα ποσού την 31/12/2017 0,4 εκατ. ευρώ.</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u w:val="single"/>
        </w:rPr>
        <w:t xml:space="preserve">Υποχρεώσεις προς πελάτες: </w:t>
      </w:r>
      <w:r w:rsidRPr="003F653B">
        <w:rPr>
          <w:rFonts w:asciiTheme="majorHAnsi" w:hAnsiTheme="majorHAnsi"/>
        </w:rPr>
        <w:t>Διαμορφώθηκαν στα 175 εκατ. ευρώ από 159 εκατ. στη προηγούμενη χρήση</w:t>
      </w:r>
      <w:r w:rsidR="00456488" w:rsidRPr="003F653B">
        <w:rPr>
          <w:rFonts w:asciiTheme="majorHAnsi" w:hAnsiTheme="majorHAnsi"/>
        </w:rPr>
        <w:t xml:space="preserve"> (10%)</w:t>
      </w:r>
      <w:r w:rsidRPr="003F653B">
        <w:rPr>
          <w:rFonts w:asciiTheme="majorHAnsi" w:hAnsiTheme="majorHAnsi"/>
        </w:rPr>
        <w:t xml:space="preserve">, αυξημένες λόγω της βελτίωσης του οικονομικού κλίματος .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u w:val="single"/>
        </w:rPr>
        <w:t>Λοιπές υποχρεώσεις:</w:t>
      </w:r>
      <w:r w:rsidRPr="003F653B">
        <w:rPr>
          <w:rFonts w:asciiTheme="majorHAnsi" w:hAnsiTheme="majorHAnsi"/>
        </w:rPr>
        <w:t xml:space="preserve"> Ποσά που αφορούν φορολογικές και ασφαλιστικές υποχρεώσεις, προμηθευτές, επιταγές έκδοσης της τράπεζας κλπ. ύψους στη χρήση 2017 2,9 εκατ. ευρώ.</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u w:val="single"/>
        </w:rPr>
        <w:t>Ίδια κεφάλαια:</w:t>
      </w:r>
      <w:r w:rsidRPr="003F653B">
        <w:rPr>
          <w:rFonts w:asciiTheme="majorHAnsi" w:hAnsiTheme="majorHAnsi"/>
        </w:rPr>
        <w:t xml:space="preserve"> Διαμορφώθηκαν στο ποσό των 13,8 εκατ ευρώ στην 31/12/2017, αυξημένα κατά 686 χιλ ευρώ από την προηγούμενη χρήση. Από την αύξηση αυτή ποσό 205 χιλ. ευρώ αφορά ποσά από αγορά μερίδων. Με το δεδομένο ύψος των κεφαλαίων ο δείκτης κεφαλαιακής επάρκειας διαμορφώθηκε σε ποσοστό 11,09%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u w:val="single"/>
        </w:rPr>
        <w:t>Καθαρά έσοδα από τόκους:</w:t>
      </w:r>
      <w:r w:rsidRPr="003F653B">
        <w:rPr>
          <w:rFonts w:asciiTheme="majorHAnsi" w:hAnsiTheme="majorHAnsi"/>
        </w:rPr>
        <w:t xml:space="preserve"> Ανήλθαν στο ποσό των 9,5 εκατ. ευρώ μειωμένα κατά 534 χιλ. ευρώ από το 2016. Η μείωση των τόκων χορηγήσεων οφείλεται κυρίως σε παύση εκτοκισμού δανείων αλλά και σε μείωση του επιπέδου επιτοκίων  χορηγήσεων και ανήλθε στο ποσό των 544 χιλ ευρώ, παρά τη σημαντική αύξηση του υπολοίπου των χορηγήσεων. Τα έξοδα από τόκους παρέμειναν σταθερά αφού  η μείωση  των επιτοκίων αντισταθμίστηκε από την αύξηση του υπολοίπο</w:t>
      </w:r>
      <w:r w:rsidR="00DD64C6" w:rsidRPr="003F653B">
        <w:rPr>
          <w:rFonts w:asciiTheme="majorHAnsi" w:hAnsiTheme="majorHAnsi"/>
        </w:rPr>
        <w:t>υ</w:t>
      </w:r>
      <w:r w:rsidRPr="003F653B">
        <w:rPr>
          <w:rFonts w:asciiTheme="majorHAnsi" w:hAnsiTheme="majorHAnsi"/>
        </w:rPr>
        <w:t xml:space="preserve"> καταθέσεων. </w:t>
      </w:r>
    </w:p>
    <w:p w:rsidR="001938F7" w:rsidRPr="003F653B" w:rsidRDefault="001938F7" w:rsidP="00DD64C6">
      <w:pPr>
        <w:spacing w:before="120" w:after="0" w:line="240" w:lineRule="auto"/>
        <w:ind w:firstLine="425"/>
        <w:jc w:val="both"/>
        <w:rPr>
          <w:rFonts w:asciiTheme="majorHAnsi" w:hAnsiTheme="majorHAnsi"/>
        </w:rPr>
      </w:pPr>
      <w:r w:rsidRPr="003F653B">
        <w:rPr>
          <w:rFonts w:asciiTheme="majorHAnsi" w:hAnsiTheme="majorHAnsi"/>
          <w:u w:val="single"/>
        </w:rPr>
        <w:t>Λειτουργικά έξοδα:</w:t>
      </w:r>
      <w:r w:rsidRPr="003F653B">
        <w:rPr>
          <w:rFonts w:asciiTheme="majorHAnsi" w:hAnsiTheme="majorHAnsi"/>
        </w:rPr>
        <w:t xml:space="preserve"> Διαμορφώθηκαν στα 5,2 εκατ. ευρώ αυξημένα κατά 220 χιλ. ευρώ σε σχέση με την προηγούμενη χρήση. Η αύξηση οφείλεται κατά κύριο λόγο στις αμοιβές και τα έξοδα προσωπικού που ανήλθαν στα 3 εκατ. αυξημένα  κατά 245 χιλ. από την προηγούμενη χρήση. Το μεγαλύτερο μέρος της αύξησης οφείλεται σε ανάγκες στελέχωσης κεντρικών υπηρεσιών </w:t>
      </w:r>
      <w:r w:rsidR="00DD64C6" w:rsidRPr="003F653B">
        <w:rPr>
          <w:rFonts w:asciiTheme="majorHAnsi" w:hAnsiTheme="majorHAnsi"/>
        </w:rPr>
        <w:t xml:space="preserve">της </w:t>
      </w:r>
      <w:r w:rsidRPr="003F653B">
        <w:rPr>
          <w:rFonts w:asciiTheme="majorHAnsi" w:hAnsiTheme="majorHAnsi"/>
        </w:rPr>
        <w:t>Τράπεζας.</w:t>
      </w:r>
      <w:r w:rsidR="00DD64C6" w:rsidRPr="003F653B">
        <w:rPr>
          <w:rFonts w:asciiTheme="majorHAnsi" w:hAnsiTheme="majorHAnsi"/>
        </w:rPr>
        <w:t xml:space="preserve"> </w:t>
      </w:r>
      <w:r w:rsidRPr="003F653B">
        <w:rPr>
          <w:rFonts w:asciiTheme="majorHAnsi" w:hAnsiTheme="majorHAnsi"/>
        </w:rPr>
        <w:t xml:space="preserve">Τα έξοδα διοίκησης μειώθηκαν κατά 22 χιλ ευρώ. Οι αποσβέσεις παρέμειναν στο ίδιο επίπεδο με την προηγούμενη χρήση.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u w:val="single"/>
        </w:rPr>
        <w:t>Κέρδη προ προβλέψεων και φόρων:</w:t>
      </w:r>
      <w:r w:rsidRPr="003F653B">
        <w:rPr>
          <w:rFonts w:asciiTheme="majorHAnsi" w:hAnsiTheme="majorHAnsi"/>
        </w:rPr>
        <w:t xml:space="preserve"> Ανήλθαν στο ποσό των 3,2 εκατ. ευρώ  μειωμένα κατά 436 χιλ. ευρώ σε σχέση με τη προηγούμενη χρήση. Η μείωση οφείλεται στο αποτέλεσμα τόκων και στην αύξηση των λειτουργικών δαπανών, παρά τη  βελτίωση των καθαρών εσόδων προμηθειών και των λοιπών εσόδων.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u w:val="single"/>
        </w:rPr>
        <w:t>Προβλέψεις – απομειώσεις:</w:t>
      </w:r>
      <w:r w:rsidRPr="003F653B">
        <w:rPr>
          <w:rFonts w:asciiTheme="majorHAnsi" w:hAnsiTheme="majorHAnsi"/>
        </w:rPr>
        <w:t xml:space="preserve"> Αφορά προβλέψεις χορηγήσεων ύψους 2,3 εκατ. ευρώ οι οποίες παραμένουν σημαντικές λόγω της εφαρμογής των ΔΠΧΑ.</w:t>
      </w:r>
    </w:p>
    <w:p w:rsidR="000664AB" w:rsidRPr="003F653B" w:rsidRDefault="001938F7" w:rsidP="001938F7">
      <w:pPr>
        <w:spacing w:before="120" w:after="0" w:line="240" w:lineRule="auto"/>
        <w:ind w:firstLine="425"/>
        <w:jc w:val="both"/>
        <w:rPr>
          <w:rFonts w:asciiTheme="majorHAnsi" w:hAnsiTheme="majorHAnsi"/>
          <w:b/>
          <w:bCs/>
          <w:u w:val="single"/>
        </w:rPr>
      </w:pPr>
      <w:r w:rsidRPr="003F653B">
        <w:rPr>
          <w:rFonts w:asciiTheme="majorHAnsi" w:hAnsiTheme="majorHAnsi"/>
          <w:u w:val="single"/>
        </w:rPr>
        <w:t>Κέρδη ζημίες προ φόρων και μετά από φόρους:</w:t>
      </w:r>
      <w:r w:rsidRPr="003F653B">
        <w:rPr>
          <w:rFonts w:asciiTheme="majorHAnsi" w:hAnsiTheme="majorHAnsi"/>
        </w:rPr>
        <w:t xml:space="preserve">  Τα κέρδη προ φόρων ανήλθαν στο ποσό των 852 χιλ. ευρώ και μετά από φόρους στο ποσό των 488 χιλ ευρώ.</w:t>
      </w:r>
    </w:p>
    <w:p w:rsidR="000664AB" w:rsidRPr="003F653B" w:rsidRDefault="000664AB" w:rsidP="000664AB">
      <w:pPr>
        <w:spacing w:before="120" w:after="0" w:line="240" w:lineRule="auto"/>
        <w:ind w:firstLine="425"/>
        <w:jc w:val="both"/>
        <w:rPr>
          <w:rFonts w:asciiTheme="majorHAnsi" w:hAnsiTheme="majorHAnsi"/>
          <w:b/>
          <w:bCs/>
          <w:u w:val="single"/>
        </w:rPr>
      </w:pPr>
    </w:p>
    <w:p w:rsidR="000664AB" w:rsidRPr="003F653B" w:rsidRDefault="000664AB" w:rsidP="000664AB">
      <w:pPr>
        <w:spacing w:before="120" w:after="0" w:line="240" w:lineRule="auto"/>
        <w:ind w:firstLine="425"/>
        <w:jc w:val="both"/>
        <w:rPr>
          <w:rFonts w:asciiTheme="majorHAnsi" w:hAnsiTheme="majorHAnsi"/>
        </w:rPr>
      </w:pPr>
      <w:r w:rsidRPr="003F653B">
        <w:rPr>
          <w:rFonts w:asciiTheme="majorHAnsi" w:hAnsiTheme="majorHAnsi"/>
          <w:b/>
          <w:bCs/>
          <w:u w:val="single"/>
        </w:rPr>
        <w:t>Στόχοι και Δραστηριότητες 201</w:t>
      </w:r>
      <w:r w:rsidR="00D645F0" w:rsidRPr="003F653B">
        <w:rPr>
          <w:rFonts w:asciiTheme="majorHAnsi" w:hAnsiTheme="majorHAnsi"/>
          <w:b/>
          <w:bCs/>
          <w:u w:val="single"/>
        </w:rPr>
        <w:t>8</w:t>
      </w:r>
      <w:r w:rsidRPr="003F653B">
        <w:rPr>
          <w:rFonts w:asciiTheme="majorHAnsi" w:hAnsiTheme="majorHAnsi"/>
        </w:rPr>
        <w:t xml:space="preserve">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xml:space="preserve">Οι στόχοι και οι σημαντικότερες δράσεις της Συνεταιριστικής Τράπεζας Θεσσαλίας για το έτος 2018 συνοψίζονται στα παρακάτω: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Συνέχιση της προσπάθειας αύξησης της λειτουργικής κερδοφορίας.</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Διατήρηση των θέσεων εργασίας.</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Σταδιακή υλοποίηση της εφαρμογής σύγχρονων τεχνολογιών τηλεπικοινωνίας στο σύνολο των Καταστημάτων και υπηρεσιών της Τράπεζας με σκοπό τη μείωση των παγίων δαπανών και την αποτελεσματικότερη χρήση των προσφερόμενων υπηρεσιών.</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Συνέχιση ανάπτυξης των συστημάτων ενημέρωσης (</w:t>
      </w:r>
      <w:r w:rsidRPr="003F653B">
        <w:rPr>
          <w:rFonts w:asciiTheme="majorHAnsi" w:hAnsiTheme="majorHAnsi"/>
          <w:lang w:val="en-US"/>
        </w:rPr>
        <w:t>MIS</w:t>
      </w:r>
      <w:r w:rsidRPr="003F653B">
        <w:rPr>
          <w:rFonts w:asciiTheme="majorHAnsi" w:hAnsiTheme="majorHAnsi"/>
        </w:rPr>
        <w:t>) της Διοίκησης και των υπηρεσιών της.</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xml:space="preserve">• Επαναπιστοποίηση της Τράπεζας σύμφωνα με τις νέες αναθεωρημένες εκδόσεις των προτύπων </w:t>
      </w:r>
      <w:r w:rsidRPr="003F653B">
        <w:rPr>
          <w:rFonts w:asciiTheme="majorHAnsi" w:hAnsiTheme="majorHAnsi"/>
          <w:lang w:val="en-US"/>
        </w:rPr>
        <w:t>ISO</w:t>
      </w:r>
      <w:r w:rsidRPr="003F653B">
        <w:rPr>
          <w:rFonts w:asciiTheme="majorHAnsi" w:hAnsiTheme="majorHAnsi"/>
        </w:rPr>
        <w:t xml:space="preserve">27001:2013 και </w:t>
      </w:r>
      <w:r w:rsidRPr="003F653B">
        <w:rPr>
          <w:rFonts w:asciiTheme="majorHAnsi" w:hAnsiTheme="majorHAnsi"/>
          <w:lang w:val="en-US"/>
        </w:rPr>
        <w:t>ISO</w:t>
      </w:r>
      <w:r w:rsidRPr="003F653B">
        <w:rPr>
          <w:rFonts w:asciiTheme="majorHAnsi" w:hAnsiTheme="majorHAnsi"/>
        </w:rPr>
        <w:t xml:space="preserve">22301:2012.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xml:space="preserve">• Διαρκής αναβάθμιση υπηρεσιών </w:t>
      </w:r>
      <w:r w:rsidRPr="003F653B">
        <w:rPr>
          <w:rFonts w:asciiTheme="majorHAnsi" w:hAnsiTheme="majorHAnsi"/>
          <w:lang w:val="en-US"/>
        </w:rPr>
        <w:t>Web</w:t>
      </w:r>
      <w:r w:rsidRPr="003F653B">
        <w:rPr>
          <w:rFonts w:asciiTheme="majorHAnsi" w:hAnsiTheme="majorHAnsi"/>
        </w:rPr>
        <w:t xml:space="preserve"> </w:t>
      </w:r>
      <w:r w:rsidRPr="003F653B">
        <w:rPr>
          <w:rFonts w:asciiTheme="majorHAnsi" w:hAnsiTheme="majorHAnsi"/>
          <w:lang w:val="en-US"/>
        </w:rPr>
        <w:t>Banking</w:t>
      </w:r>
      <w:r w:rsidRPr="003F653B">
        <w:rPr>
          <w:rFonts w:asciiTheme="majorHAnsi" w:hAnsiTheme="majorHAnsi"/>
        </w:rPr>
        <w:t xml:space="preserve"> για την αποτελεσματικότερη εξυπηρέτηση των πελατών.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Υιοθέτηση σύγχρονων εργαλείων εξυπηρέτησης και ενημέρωσης των πελατών-συνεταίρων.</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xml:space="preserve">• Διάθεση τερματικών </w:t>
      </w:r>
      <w:r w:rsidRPr="003F653B">
        <w:rPr>
          <w:rFonts w:asciiTheme="majorHAnsi" w:hAnsiTheme="majorHAnsi"/>
          <w:lang w:val="en-US"/>
        </w:rPr>
        <w:t>POS</w:t>
      </w:r>
      <w:r w:rsidRPr="003F653B">
        <w:rPr>
          <w:rFonts w:asciiTheme="majorHAnsi" w:hAnsiTheme="majorHAnsi"/>
        </w:rPr>
        <w:t xml:space="preserve"> στους πελάτες-εμπόρους της Τράπεζας για πληρωμές με αποδοχή καρτών. </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Συνέργειες με άλλους οργανισμούς με στόχο την αναβάθμιση των προσφερόμενων υπηρεσιών των καρτών στους κατόχους τους.</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Αναβάθμιση της ιστοσελίδας της τράπεζας με στόχο την πληρέστερη ενημέρωση των πελατών-συνεταίρων.</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Συνέχιση της συμμετοχής στα προγράμματα του Ταμείου Επιχειρηματικότητας (ΤΕΠΙΧ) και νέων προγραμμάτων με σκοπό την ενίσχυση της τοπικής επιχειρηματικότητας.</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Συνεργασία με τον ΕΦΕΠΑΕ με στόχο τη συμμετοχή της τράπεζας στο πρόγραμμα επανεκκίνησης της οικονομίας (ΕΠΑΝΕΚ 2014-2020).</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Έναρξη διαδικασιών υλοποίησης ΕΚΕ στην Περιφερειακή Ενότητα Μαγνησίας.</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Περαιτέρω ανάπτυξη ασφαλιστικών εργασιών.</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Προώθηση διάθεσης εταιρικών μερίδων - Αύξηση Συνεταιριστικού Κεφαλαίου.</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Προώθηση της Ιδέας της Αποταμίευσης στη Θεσσαλία.</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Προμήθεια της μηχανογραφικής εφαρμογής η οποία θα αποτελέσει την πλήρη πλατφόρμα υποστήριξης των εργασιών της Τράπεζας (</w:t>
      </w:r>
      <w:r w:rsidRPr="003F653B">
        <w:rPr>
          <w:rFonts w:asciiTheme="majorHAnsi" w:hAnsiTheme="majorHAnsi"/>
          <w:lang w:val="en-US"/>
        </w:rPr>
        <w:t>core</w:t>
      </w:r>
      <w:r w:rsidRPr="003F653B">
        <w:rPr>
          <w:rFonts w:asciiTheme="majorHAnsi" w:hAnsiTheme="majorHAnsi"/>
        </w:rPr>
        <w:t xml:space="preserve"> </w:t>
      </w:r>
      <w:r w:rsidRPr="003F653B">
        <w:rPr>
          <w:rFonts w:asciiTheme="majorHAnsi" w:hAnsiTheme="majorHAnsi"/>
          <w:lang w:val="en-US"/>
        </w:rPr>
        <w:t>banking</w:t>
      </w:r>
      <w:r w:rsidRPr="003F653B">
        <w:rPr>
          <w:rFonts w:asciiTheme="majorHAnsi" w:hAnsiTheme="majorHAnsi"/>
        </w:rPr>
        <w:t xml:space="preserve"> </w:t>
      </w:r>
      <w:r w:rsidRPr="003F653B">
        <w:rPr>
          <w:rFonts w:asciiTheme="majorHAnsi" w:hAnsiTheme="majorHAnsi"/>
          <w:lang w:val="en-US"/>
        </w:rPr>
        <w:t>system</w:t>
      </w:r>
      <w:r w:rsidRPr="003F653B">
        <w:rPr>
          <w:rFonts w:asciiTheme="majorHAnsi" w:hAnsiTheme="majorHAnsi"/>
        </w:rPr>
        <w:t>). Έναρξη των εργασιών παραμετροποίησης και εγκατάστασης.</w:t>
      </w:r>
    </w:p>
    <w:p w:rsidR="001938F7" w:rsidRPr="003F653B" w:rsidRDefault="001938F7" w:rsidP="001938F7">
      <w:pPr>
        <w:spacing w:before="120" w:after="0" w:line="240" w:lineRule="auto"/>
        <w:ind w:firstLine="425"/>
        <w:jc w:val="both"/>
        <w:rPr>
          <w:rFonts w:asciiTheme="majorHAnsi" w:hAnsiTheme="majorHAnsi"/>
        </w:rPr>
      </w:pPr>
      <w:r w:rsidRPr="003F653B">
        <w:rPr>
          <w:rFonts w:asciiTheme="majorHAnsi" w:hAnsiTheme="majorHAnsi"/>
        </w:rPr>
        <w:t xml:space="preserve">• Συνεχής διαδικασία πληροφόρησης επιχειρήσεων, φορέων, συλλογικοτήτων σε όλη τη Θεσσαλία για τη δράση και τις δυνατότητες συνεργασίας με τη Συνεταιριστική Τράπεζα Θεσσαλίας. </w:t>
      </w:r>
    </w:p>
    <w:p w:rsidR="000664AB" w:rsidRPr="003F653B" w:rsidRDefault="000664AB" w:rsidP="000664AB">
      <w:pPr>
        <w:spacing w:before="120" w:after="0" w:line="240" w:lineRule="auto"/>
        <w:ind w:firstLine="425"/>
        <w:jc w:val="both"/>
        <w:rPr>
          <w:rFonts w:asciiTheme="majorHAnsi" w:hAnsiTheme="majorHAnsi"/>
        </w:rPr>
      </w:pPr>
      <w:r w:rsidRPr="003F653B">
        <w:rPr>
          <w:rFonts w:asciiTheme="majorHAnsi" w:hAnsiTheme="majorHAnsi"/>
        </w:rPr>
        <w:t xml:space="preserve">  </w:t>
      </w:r>
    </w:p>
    <w:p w:rsidR="001938F7" w:rsidRPr="003F653B" w:rsidRDefault="001938F7" w:rsidP="001938F7">
      <w:pPr>
        <w:spacing w:before="120" w:after="0" w:line="240" w:lineRule="auto"/>
        <w:ind w:firstLine="425"/>
        <w:jc w:val="both"/>
        <w:rPr>
          <w:rFonts w:asciiTheme="majorHAnsi" w:hAnsiTheme="majorHAnsi"/>
          <w:b/>
          <w:bCs/>
          <w:u w:val="single"/>
        </w:rPr>
      </w:pPr>
      <w:r w:rsidRPr="003F653B">
        <w:rPr>
          <w:rFonts w:asciiTheme="majorHAnsi" w:hAnsiTheme="majorHAnsi"/>
          <w:b/>
          <w:bCs/>
          <w:u w:val="single"/>
        </w:rPr>
        <w:t xml:space="preserve">Συναλλαγές με συνδεδεμένα μέρη </w:t>
      </w:r>
    </w:p>
    <w:p w:rsidR="001938F7" w:rsidRPr="003F653B" w:rsidRDefault="001938F7" w:rsidP="001938F7">
      <w:pPr>
        <w:spacing w:before="120" w:after="0" w:line="240" w:lineRule="auto"/>
        <w:ind w:firstLine="425"/>
        <w:jc w:val="both"/>
        <w:rPr>
          <w:rFonts w:asciiTheme="majorHAnsi" w:hAnsiTheme="majorHAnsi"/>
          <w:bCs/>
        </w:rPr>
      </w:pPr>
      <w:r w:rsidRPr="003F653B">
        <w:rPr>
          <w:rFonts w:asciiTheme="majorHAnsi" w:hAnsiTheme="majorHAnsi"/>
          <w:bCs/>
        </w:rPr>
        <w:t xml:space="preserve">Όλες οι συναλλαγές με συνδεδεμένα μέρη έχουν πραγματοποιηθεί μέσα στα συνήθη πλαίσια των εργασιών της Τράπεζας και σε συνθήκες και όρους αγοράς. </w:t>
      </w:r>
    </w:p>
    <w:p w:rsidR="000664AB" w:rsidRPr="003F653B" w:rsidRDefault="000664AB" w:rsidP="000664AB">
      <w:pPr>
        <w:spacing w:before="120" w:after="0" w:line="240" w:lineRule="auto"/>
        <w:ind w:firstLine="425"/>
        <w:jc w:val="both"/>
        <w:rPr>
          <w:rFonts w:asciiTheme="majorHAnsi" w:hAnsiTheme="majorHAnsi"/>
          <w:bCs/>
        </w:rPr>
      </w:pPr>
    </w:p>
    <w:p w:rsidR="000664AB" w:rsidRPr="003F653B" w:rsidRDefault="000664AB" w:rsidP="000664AB">
      <w:pPr>
        <w:spacing w:before="120" w:after="0" w:line="240" w:lineRule="auto"/>
        <w:ind w:firstLine="425"/>
        <w:jc w:val="both"/>
        <w:rPr>
          <w:rFonts w:asciiTheme="majorHAnsi" w:hAnsiTheme="majorHAnsi"/>
          <w:bCs/>
        </w:rPr>
      </w:pPr>
    </w:p>
    <w:sectPr w:rsidR="000664AB" w:rsidRPr="003F653B" w:rsidSect="00B93D91">
      <w:footerReference w:type="default" r:id="rId8"/>
      <w:pgSz w:w="11906" w:h="16838"/>
      <w:pgMar w:top="851" w:right="1558"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0DB" w:rsidRDefault="003830DB" w:rsidP="00BD7219">
      <w:pPr>
        <w:spacing w:after="0" w:line="240" w:lineRule="auto"/>
      </w:pPr>
      <w:r>
        <w:separator/>
      </w:r>
    </w:p>
  </w:endnote>
  <w:endnote w:type="continuationSeparator" w:id="0">
    <w:p w:rsidR="003830DB" w:rsidRDefault="003830DB" w:rsidP="00BD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Μοντέρνα">
    <w:altName w:val="Courier New"/>
    <w:panose1 w:val="020B06040202020202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2141"/>
      <w:docPartObj>
        <w:docPartGallery w:val="Page Numbers (Bottom of Page)"/>
        <w:docPartUnique/>
      </w:docPartObj>
    </w:sdtPr>
    <w:sdtEndPr/>
    <w:sdtContent>
      <w:p w:rsidR="002B29DF" w:rsidRDefault="003830DB">
        <w:pPr>
          <w:pStyle w:val="a6"/>
        </w:pPr>
        <w:r>
          <w:rPr>
            <w:noProof/>
            <w:lang w:eastAsia="el-GR"/>
          </w:rPr>
          <w:pict>
            <v:rect id="Rectangle 1" o:spid="_x0000_s2049" style="position:absolute;margin-left:0;margin-top:0;width:44.55pt;height:21.8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" filled="f" fillcolor="#c0504d [3205]" stroked="f" strokecolor="#4f81bd [3204]" strokeweight="2.25pt">
              <v:textbox inset=",0,,0">
                <w:txbxContent>
                  <w:p w:rsidR="002B29DF" w:rsidRPr="00BD7219" w:rsidRDefault="00980563">
                    <w:pPr>
                      <w:pBdr>
                        <w:top w:val="single" w:sz="4" w:space="1" w:color="7F7F7F" w:themeColor="background1" w:themeShade="7F"/>
                      </w:pBdr>
                      <w:jc w:val="center"/>
                      <w:rPr>
                        <w:sz w:val="16"/>
                        <w:szCs w:val="16"/>
                      </w:rPr>
                    </w:pPr>
                    <w:r w:rsidRPr="00BD7219">
                      <w:rPr>
                        <w:sz w:val="16"/>
                        <w:szCs w:val="16"/>
                      </w:rPr>
                      <w:fldChar w:fldCharType="begin"/>
                    </w:r>
                    <w:r w:rsidR="002B29DF" w:rsidRPr="00BD7219">
                      <w:rPr>
                        <w:sz w:val="16"/>
                        <w:szCs w:val="16"/>
                      </w:rPr>
                      <w:instrText xml:space="preserve"> PAGE   \* MERGEFORMAT </w:instrText>
                    </w:r>
                    <w:r w:rsidRPr="00BD7219">
                      <w:rPr>
                        <w:sz w:val="16"/>
                        <w:szCs w:val="16"/>
                      </w:rPr>
                      <w:fldChar w:fldCharType="separate"/>
                    </w:r>
                    <w:r w:rsidR="001373A3">
                      <w:rPr>
                        <w:noProof/>
                        <w:sz w:val="16"/>
                        <w:szCs w:val="16"/>
                      </w:rPr>
                      <w:t>4</w:t>
                    </w:r>
                    <w:r w:rsidRPr="00BD7219">
                      <w:rPr>
                        <w:sz w:val="16"/>
                        <w:szCs w:val="16"/>
                      </w:rPr>
                      <w:fldChar w:fldCharType="end"/>
                    </w:r>
                  </w:p>
                </w:txbxContent>
              </v:textbox>
              <w10:wrap anchorx="margin" anchory="margin"/>
            </v:rect>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0DB" w:rsidRDefault="003830DB" w:rsidP="00BD7219">
      <w:pPr>
        <w:spacing w:after="0" w:line="240" w:lineRule="auto"/>
      </w:pPr>
      <w:r>
        <w:separator/>
      </w:r>
    </w:p>
  </w:footnote>
  <w:footnote w:type="continuationSeparator" w:id="0">
    <w:p w:rsidR="003830DB" w:rsidRDefault="003830DB" w:rsidP="00BD72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pt;height:9pt" o:bullet="t">
        <v:imagedata r:id="rId1" o:title="BD10266_"/>
      </v:shape>
    </w:pict>
  </w:numPicBullet>
  <w:abstractNum w:abstractNumId="0" w15:restartNumberingAfterBreak="0">
    <w:nsid w:val="005D1A27"/>
    <w:multiLevelType w:val="hybridMultilevel"/>
    <w:tmpl w:val="EA0A2314"/>
    <w:lvl w:ilvl="0" w:tplc="3C26C9B4">
      <w:start w:val="1"/>
      <w:numFmt w:val="bullet"/>
      <w:lvlText w:val=""/>
      <w:lvlPicBulletId w:val="0"/>
      <w:lvlJc w:val="left"/>
      <w:pPr>
        <w:ind w:left="1440" w:hanging="360"/>
      </w:pPr>
      <w:rPr>
        <w:rFonts w:ascii="Symbol" w:hAnsi="Symbol" w:hint="default"/>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D3B5564"/>
    <w:multiLevelType w:val="hybridMultilevel"/>
    <w:tmpl w:val="2A0C557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FB6C62"/>
    <w:multiLevelType w:val="hybridMultilevel"/>
    <w:tmpl w:val="6B82BA4E"/>
    <w:lvl w:ilvl="0" w:tplc="E03E43E6">
      <w:start w:val="1"/>
      <w:numFmt w:val="decimal"/>
      <w:lvlText w:val="%1."/>
      <w:lvlJc w:val="left"/>
      <w:pPr>
        <w:ind w:left="720" w:hanging="360"/>
      </w:pPr>
      <w:rPr>
        <w:rFonts w:hint="default"/>
      </w:r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6D93546"/>
    <w:multiLevelType w:val="hybridMultilevel"/>
    <w:tmpl w:val="E42C01AA"/>
    <w:lvl w:ilvl="0" w:tplc="3580DD80">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7EE3A80"/>
    <w:multiLevelType w:val="hybridMultilevel"/>
    <w:tmpl w:val="ECE844BC"/>
    <w:lvl w:ilvl="0" w:tplc="D2BCFAAC">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19D06850"/>
    <w:multiLevelType w:val="hybridMultilevel"/>
    <w:tmpl w:val="20280420"/>
    <w:lvl w:ilvl="0" w:tplc="3580DD80">
      <w:start w:val="1"/>
      <w:numFmt w:val="decimal"/>
      <w:lvlText w:val="%1."/>
      <w:lvlJc w:val="left"/>
      <w:pPr>
        <w:ind w:left="720" w:hanging="360"/>
      </w:pPr>
      <w:rPr>
        <w:rFonts w:hint="default"/>
      </w:r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9154DC1"/>
    <w:multiLevelType w:val="hybridMultilevel"/>
    <w:tmpl w:val="4914DFFA"/>
    <w:lvl w:ilvl="0" w:tplc="1E26DF12">
      <w:start w:val="6"/>
      <w:numFmt w:val="decimal"/>
      <w:lvlText w:val="%1."/>
      <w:lvlJc w:val="left"/>
      <w:pPr>
        <w:tabs>
          <w:tab w:val="num" w:pos="861"/>
        </w:tabs>
        <w:ind w:left="861" w:hanging="435"/>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7" w15:restartNumberingAfterBreak="0">
    <w:nsid w:val="2FDA7D5A"/>
    <w:multiLevelType w:val="hybridMultilevel"/>
    <w:tmpl w:val="7AB88546"/>
    <w:lvl w:ilvl="0" w:tplc="3580DD80">
      <w:start w:val="1"/>
      <w:numFmt w:val="decimal"/>
      <w:lvlText w:val="%1."/>
      <w:lvlJc w:val="left"/>
      <w:pPr>
        <w:ind w:left="720" w:hanging="360"/>
      </w:pPr>
      <w:rPr>
        <w:rFonts w:hint="default"/>
      </w:r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2E249B1"/>
    <w:multiLevelType w:val="hybridMultilevel"/>
    <w:tmpl w:val="AE42CC9E"/>
    <w:lvl w:ilvl="0" w:tplc="04080005">
      <w:start w:val="1"/>
      <w:numFmt w:val="bullet"/>
      <w:lvlText w:val=""/>
      <w:lvlJc w:val="left"/>
      <w:pPr>
        <w:ind w:left="10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34C070FB"/>
    <w:multiLevelType w:val="hybridMultilevel"/>
    <w:tmpl w:val="48F446CC"/>
    <w:lvl w:ilvl="0" w:tplc="31306872">
      <w:start w:val="6"/>
      <w:numFmt w:val="decimal"/>
      <w:lvlText w:val="%1."/>
      <w:lvlJc w:val="left"/>
      <w:pPr>
        <w:ind w:left="502" w:hanging="360"/>
      </w:pPr>
      <w:rPr>
        <w:rFonts w:asciiTheme="majorHAnsi" w:eastAsiaTheme="minorHAnsi" w:hAnsiTheme="majorHAnsi" w:cs="Arial" w:hint="default"/>
        <w:color w:val="000000" w:themeColor="text1"/>
        <w:sz w:val="22"/>
        <w:u w:val="single"/>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0" w15:restartNumberingAfterBreak="0">
    <w:nsid w:val="39DD0857"/>
    <w:multiLevelType w:val="hybridMultilevel"/>
    <w:tmpl w:val="5B6E069A"/>
    <w:lvl w:ilvl="0" w:tplc="04080001">
      <w:start w:val="1"/>
      <w:numFmt w:val="bullet"/>
      <w:lvlText w:val=""/>
      <w:lvlJc w:val="left"/>
      <w:pPr>
        <w:ind w:left="720" w:hanging="360"/>
      </w:pPr>
      <w:rPr>
        <w:rFonts w:ascii="Symbol" w:hAnsi="Symbol" w:hint="default"/>
      </w:rPr>
    </w:lvl>
    <w:lvl w:ilvl="1" w:tplc="0408000F">
      <w:start w:val="1"/>
      <w:numFmt w:val="decimal"/>
      <w:lvlText w:val="%2."/>
      <w:lvlJc w:val="left"/>
      <w:pPr>
        <w:ind w:left="1440" w:hanging="360"/>
      </w:pPr>
      <w:rPr>
        <w:rFonts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4761BCF"/>
    <w:multiLevelType w:val="hybridMultilevel"/>
    <w:tmpl w:val="4914DFFA"/>
    <w:lvl w:ilvl="0" w:tplc="1E26DF12">
      <w:start w:val="6"/>
      <w:numFmt w:val="decimal"/>
      <w:lvlText w:val="%1."/>
      <w:lvlJc w:val="left"/>
      <w:pPr>
        <w:tabs>
          <w:tab w:val="num" w:pos="3554"/>
        </w:tabs>
        <w:ind w:left="3554" w:hanging="435"/>
      </w:pPr>
      <w:rPr>
        <w:rFonts w:hint="default"/>
        <w:b/>
      </w:rPr>
    </w:lvl>
    <w:lvl w:ilvl="1" w:tplc="04080019" w:tentative="1">
      <w:start w:val="1"/>
      <w:numFmt w:val="lowerLetter"/>
      <w:lvlText w:val="%2."/>
      <w:lvlJc w:val="left"/>
      <w:pPr>
        <w:ind w:left="4199" w:hanging="360"/>
      </w:pPr>
    </w:lvl>
    <w:lvl w:ilvl="2" w:tplc="0408001B" w:tentative="1">
      <w:start w:val="1"/>
      <w:numFmt w:val="lowerRoman"/>
      <w:lvlText w:val="%3."/>
      <w:lvlJc w:val="right"/>
      <w:pPr>
        <w:ind w:left="4919" w:hanging="180"/>
      </w:pPr>
    </w:lvl>
    <w:lvl w:ilvl="3" w:tplc="0408000F" w:tentative="1">
      <w:start w:val="1"/>
      <w:numFmt w:val="decimal"/>
      <w:lvlText w:val="%4."/>
      <w:lvlJc w:val="left"/>
      <w:pPr>
        <w:ind w:left="5639" w:hanging="360"/>
      </w:pPr>
    </w:lvl>
    <w:lvl w:ilvl="4" w:tplc="04080019" w:tentative="1">
      <w:start w:val="1"/>
      <w:numFmt w:val="lowerLetter"/>
      <w:lvlText w:val="%5."/>
      <w:lvlJc w:val="left"/>
      <w:pPr>
        <w:ind w:left="6359" w:hanging="360"/>
      </w:pPr>
    </w:lvl>
    <w:lvl w:ilvl="5" w:tplc="0408001B" w:tentative="1">
      <w:start w:val="1"/>
      <w:numFmt w:val="lowerRoman"/>
      <w:lvlText w:val="%6."/>
      <w:lvlJc w:val="right"/>
      <w:pPr>
        <w:ind w:left="7079" w:hanging="180"/>
      </w:pPr>
    </w:lvl>
    <w:lvl w:ilvl="6" w:tplc="0408000F" w:tentative="1">
      <w:start w:val="1"/>
      <w:numFmt w:val="decimal"/>
      <w:lvlText w:val="%7."/>
      <w:lvlJc w:val="left"/>
      <w:pPr>
        <w:ind w:left="7799" w:hanging="360"/>
      </w:pPr>
    </w:lvl>
    <w:lvl w:ilvl="7" w:tplc="04080019" w:tentative="1">
      <w:start w:val="1"/>
      <w:numFmt w:val="lowerLetter"/>
      <w:lvlText w:val="%8."/>
      <w:lvlJc w:val="left"/>
      <w:pPr>
        <w:ind w:left="8519" w:hanging="360"/>
      </w:pPr>
    </w:lvl>
    <w:lvl w:ilvl="8" w:tplc="0408001B" w:tentative="1">
      <w:start w:val="1"/>
      <w:numFmt w:val="lowerRoman"/>
      <w:lvlText w:val="%9."/>
      <w:lvlJc w:val="right"/>
      <w:pPr>
        <w:ind w:left="9239" w:hanging="180"/>
      </w:pPr>
    </w:lvl>
  </w:abstractNum>
  <w:abstractNum w:abstractNumId="12" w15:restartNumberingAfterBreak="0">
    <w:nsid w:val="481A3EC7"/>
    <w:multiLevelType w:val="hybridMultilevel"/>
    <w:tmpl w:val="B4A0EEE2"/>
    <w:lvl w:ilvl="0" w:tplc="06009FEC">
      <w:start w:val="2"/>
      <w:numFmt w:val="decimal"/>
      <w:lvlText w:val="%1."/>
      <w:lvlJc w:val="left"/>
      <w:pPr>
        <w:ind w:left="360" w:hanging="360"/>
      </w:pPr>
      <w:rPr>
        <w:rFonts w:asciiTheme="majorHAnsi" w:eastAsiaTheme="minorHAnsi" w:hAnsiTheme="majorHAnsi" w:cs="Arial" w:hint="default"/>
        <w:color w:val="000000" w:themeColor="text1"/>
        <w:sz w:val="22"/>
        <w:u w:val="single"/>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3" w15:restartNumberingAfterBreak="0">
    <w:nsid w:val="49964B45"/>
    <w:multiLevelType w:val="hybridMultilevel"/>
    <w:tmpl w:val="D48209D6"/>
    <w:lvl w:ilvl="0" w:tplc="04080009">
      <w:start w:val="1"/>
      <w:numFmt w:val="bullet"/>
      <w:lvlText w:val=""/>
      <w:lvlJc w:val="left"/>
      <w:pPr>
        <w:ind w:left="795"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52751E56"/>
    <w:multiLevelType w:val="hybridMultilevel"/>
    <w:tmpl w:val="E09EA0EA"/>
    <w:lvl w:ilvl="0" w:tplc="3C26C9B4">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4EC3118"/>
    <w:multiLevelType w:val="hybridMultilevel"/>
    <w:tmpl w:val="A5AAD5D0"/>
    <w:lvl w:ilvl="0" w:tplc="3C26C9B4">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6FE0552"/>
    <w:multiLevelType w:val="hybridMultilevel"/>
    <w:tmpl w:val="E7286E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847609D"/>
    <w:multiLevelType w:val="hybridMultilevel"/>
    <w:tmpl w:val="4F0CD8A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D9B6017"/>
    <w:multiLevelType w:val="hybridMultilevel"/>
    <w:tmpl w:val="5D063A7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F743549"/>
    <w:multiLevelType w:val="hybridMultilevel"/>
    <w:tmpl w:val="DB18DF6C"/>
    <w:lvl w:ilvl="0" w:tplc="0408000F">
      <w:start w:val="1"/>
      <w:numFmt w:val="decimal"/>
      <w:lvlText w:val="%1."/>
      <w:lvlJc w:val="left"/>
      <w:pPr>
        <w:ind w:left="720" w:hanging="360"/>
      </w:p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7451E8B"/>
    <w:multiLevelType w:val="hybridMultilevel"/>
    <w:tmpl w:val="CC7C66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D331D08"/>
    <w:multiLevelType w:val="hybridMultilevel"/>
    <w:tmpl w:val="4F0CD8A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D756B1F"/>
    <w:multiLevelType w:val="singleLevel"/>
    <w:tmpl w:val="120EE012"/>
    <w:lvl w:ilvl="0">
      <w:start w:val="4"/>
      <w:numFmt w:val="decimal"/>
      <w:lvlText w:val="%1."/>
      <w:lvlJc w:val="left"/>
      <w:pPr>
        <w:tabs>
          <w:tab w:val="num" w:pos="795"/>
        </w:tabs>
        <w:ind w:left="795" w:hanging="435"/>
      </w:pPr>
      <w:rPr>
        <w:rFonts w:hint="default"/>
        <w:b/>
      </w:rPr>
    </w:lvl>
  </w:abstractNum>
  <w:abstractNum w:abstractNumId="23" w15:restartNumberingAfterBreak="0">
    <w:nsid w:val="70315F9F"/>
    <w:multiLevelType w:val="hybridMultilevel"/>
    <w:tmpl w:val="41ACC4C6"/>
    <w:lvl w:ilvl="0" w:tplc="3C26C9B4">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5917F28"/>
    <w:multiLevelType w:val="hybridMultilevel"/>
    <w:tmpl w:val="26329C26"/>
    <w:lvl w:ilvl="0" w:tplc="3C26C9B4">
      <w:start w:val="1"/>
      <w:numFmt w:val="bullet"/>
      <w:lvlText w:val=""/>
      <w:lvlPicBulletId w:val="0"/>
      <w:lvlJc w:val="left"/>
      <w:pPr>
        <w:ind w:left="1440" w:hanging="360"/>
      </w:pPr>
      <w:rPr>
        <w:rFonts w:ascii="Symbol" w:hAnsi="Symbol" w:hint="default"/>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774F5299"/>
    <w:multiLevelType w:val="hybridMultilevel"/>
    <w:tmpl w:val="09264F3E"/>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26" w15:restartNumberingAfterBreak="0">
    <w:nsid w:val="79B577FD"/>
    <w:multiLevelType w:val="hybridMultilevel"/>
    <w:tmpl w:val="C7BE7C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8"/>
  </w:num>
  <w:num w:numId="2">
    <w:abstractNumId w:val="22"/>
  </w:num>
  <w:num w:numId="3">
    <w:abstractNumId w:val="19"/>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4"/>
  </w:num>
  <w:num w:numId="10">
    <w:abstractNumId w:val="23"/>
  </w:num>
  <w:num w:numId="11">
    <w:abstractNumId w:val="15"/>
  </w:num>
  <w:num w:numId="12">
    <w:abstractNumId w:val="13"/>
  </w:num>
  <w:num w:numId="13">
    <w:abstractNumId w:val="4"/>
  </w:num>
  <w:num w:numId="14">
    <w:abstractNumId w:val="25"/>
  </w:num>
  <w:num w:numId="15">
    <w:abstractNumId w:val="2"/>
  </w:num>
  <w:num w:numId="16">
    <w:abstractNumId w:val="17"/>
  </w:num>
  <w:num w:numId="17">
    <w:abstractNumId w:val="3"/>
  </w:num>
  <w:num w:numId="18">
    <w:abstractNumId w:val="7"/>
  </w:num>
  <w:num w:numId="19">
    <w:abstractNumId w:val="5"/>
  </w:num>
  <w:num w:numId="20">
    <w:abstractNumId w:val="6"/>
  </w:num>
  <w:num w:numId="21">
    <w:abstractNumId w:val="20"/>
  </w:num>
  <w:num w:numId="22">
    <w:abstractNumId w:val="16"/>
  </w:num>
  <w:num w:numId="23">
    <w:abstractNumId w:val="11"/>
  </w:num>
  <w:num w:numId="24">
    <w:abstractNumId w:val="21"/>
  </w:num>
  <w:num w:numId="25">
    <w:abstractNumId w:val="10"/>
  </w:num>
  <w:num w:numId="26">
    <w:abstractNumId w:val="0"/>
  </w:num>
  <w:num w:numId="27">
    <w:abstractNumId w:val="9"/>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15E3C"/>
    <w:rsid w:val="00001DAF"/>
    <w:rsid w:val="00003663"/>
    <w:rsid w:val="00005F24"/>
    <w:rsid w:val="00007126"/>
    <w:rsid w:val="000103BA"/>
    <w:rsid w:val="00014D5B"/>
    <w:rsid w:val="0001531C"/>
    <w:rsid w:val="00017F65"/>
    <w:rsid w:val="00020CCD"/>
    <w:rsid w:val="00021AE3"/>
    <w:rsid w:val="00022BFD"/>
    <w:rsid w:val="00027A39"/>
    <w:rsid w:val="00032495"/>
    <w:rsid w:val="00032C02"/>
    <w:rsid w:val="00033151"/>
    <w:rsid w:val="00035541"/>
    <w:rsid w:val="00037FB1"/>
    <w:rsid w:val="000404B1"/>
    <w:rsid w:val="00047D25"/>
    <w:rsid w:val="000506D7"/>
    <w:rsid w:val="00051794"/>
    <w:rsid w:val="00057357"/>
    <w:rsid w:val="00060095"/>
    <w:rsid w:val="00062A81"/>
    <w:rsid w:val="000664AB"/>
    <w:rsid w:val="0006662E"/>
    <w:rsid w:val="00070931"/>
    <w:rsid w:val="0007241A"/>
    <w:rsid w:val="00072B04"/>
    <w:rsid w:val="00073ADB"/>
    <w:rsid w:val="000758A9"/>
    <w:rsid w:val="000A0BC9"/>
    <w:rsid w:val="000B2005"/>
    <w:rsid w:val="000B4052"/>
    <w:rsid w:val="000B526B"/>
    <w:rsid w:val="000B6281"/>
    <w:rsid w:val="000C7C04"/>
    <w:rsid w:val="000D25E3"/>
    <w:rsid w:val="000D335D"/>
    <w:rsid w:val="000E49DB"/>
    <w:rsid w:val="000E538D"/>
    <w:rsid w:val="000F467A"/>
    <w:rsid w:val="000F5BB6"/>
    <w:rsid w:val="001020D8"/>
    <w:rsid w:val="0011211B"/>
    <w:rsid w:val="00114499"/>
    <w:rsid w:val="00114E9C"/>
    <w:rsid w:val="00117B7D"/>
    <w:rsid w:val="0012053A"/>
    <w:rsid w:val="001232FB"/>
    <w:rsid w:val="00127264"/>
    <w:rsid w:val="001353D9"/>
    <w:rsid w:val="0013587A"/>
    <w:rsid w:val="001373A3"/>
    <w:rsid w:val="00137E4B"/>
    <w:rsid w:val="00141151"/>
    <w:rsid w:val="00141F3A"/>
    <w:rsid w:val="0014599D"/>
    <w:rsid w:val="00154FA8"/>
    <w:rsid w:val="00155515"/>
    <w:rsid w:val="00156CAC"/>
    <w:rsid w:val="00156EFD"/>
    <w:rsid w:val="00162066"/>
    <w:rsid w:val="00176B2E"/>
    <w:rsid w:val="00181D04"/>
    <w:rsid w:val="00190178"/>
    <w:rsid w:val="001938F7"/>
    <w:rsid w:val="00196E14"/>
    <w:rsid w:val="001A0E57"/>
    <w:rsid w:val="001A403D"/>
    <w:rsid w:val="001A54C4"/>
    <w:rsid w:val="001B0756"/>
    <w:rsid w:val="001B2532"/>
    <w:rsid w:val="001B7D55"/>
    <w:rsid w:val="001C22C7"/>
    <w:rsid w:val="001C64A2"/>
    <w:rsid w:val="001D12B3"/>
    <w:rsid w:val="001D3963"/>
    <w:rsid w:val="001D4376"/>
    <w:rsid w:val="001D45B6"/>
    <w:rsid w:val="001E0CBD"/>
    <w:rsid w:val="001F1E5F"/>
    <w:rsid w:val="001F3805"/>
    <w:rsid w:val="001F4769"/>
    <w:rsid w:val="001F56E0"/>
    <w:rsid w:val="00204F48"/>
    <w:rsid w:val="002068EF"/>
    <w:rsid w:val="00207CE1"/>
    <w:rsid w:val="002121C7"/>
    <w:rsid w:val="00224903"/>
    <w:rsid w:val="0022564A"/>
    <w:rsid w:val="00227597"/>
    <w:rsid w:val="00250C15"/>
    <w:rsid w:val="00251CFD"/>
    <w:rsid w:val="0025389B"/>
    <w:rsid w:val="00254BC0"/>
    <w:rsid w:val="00255F0D"/>
    <w:rsid w:val="0025607A"/>
    <w:rsid w:val="00264199"/>
    <w:rsid w:val="00265905"/>
    <w:rsid w:val="002669CF"/>
    <w:rsid w:val="002723F5"/>
    <w:rsid w:val="00272661"/>
    <w:rsid w:val="00273181"/>
    <w:rsid w:val="00275BD5"/>
    <w:rsid w:val="0027642F"/>
    <w:rsid w:val="002911C1"/>
    <w:rsid w:val="002924E7"/>
    <w:rsid w:val="00297903"/>
    <w:rsid w:val="002A1841"/>
    <w:rsid w:val="002A1BF3"/>
    <w:rsid w:val="002A401A"/>
    <w:rsid w:val="002A73FA"/>
    <w:rsid w:val="002B044B"/>
    <w:rsid w:val="002B1C63"/>
    <w:rsid w:val="002B29DF"/>
    <w:rsid w:val="002B54EA"/>
    <w:rsid w:val="002C14BE"/>
    <w:rsid w:val="002C18D5"/>
    <w:rsid w:val="002C27C6"/>
    <w:rsid w:val="002C2D65"/>
    <w:rsid w:val="002C303F"/>
    <w:rsid w:val="002C4352"/>
    <w:rsid w:val="002C7012"/>
    <w:rsid w:val="002D28E6"/>
    <w:rsid w:val="002D5651"/>
    <w:rsid w:val="002D7470"/>
    <w:rsid w:val="002D7E52"/>
    <w:rsid w:val="002E37CD"/>
    <w:rsid w:val="00300628"/>
    <w:rsid w:val="00301504"/>
    <w:rsid w:val="0030192E"/>
    <w:rsid w:val="0030320D"/>
    <w:rsid w:val="00312B24"/>
    <w:rsid w:val="0031475D"/>
    <w:rsid w:val="003161C9"/>
    <w:rsid w:val="0031658D"/>
    <w:rsid w:val="00320841"/>
    <w:rsid w:val="0032090D"/>
    <w:rsid w:val="0032282F"/>
    <w:rsid w:val="00323561"/>
    <w:rsid w:val="00324D35"/>
    <w:rsid w:val="00327A33"/>
    <w:rsid w:val="00334F20"/>
    <w:rsid w:val="00337567"/>
    <w:rsid w:val="00342AF3"/>
    <w:rsid w:val="003449EC"/>
    <w:rsid w:val="0036780A"/>
    <w:rsid w:val="00371845"/>
    <w:rsid w:val="003725E6"/>
    <w:rsid w:val="003733A3"/>
    <w:rsid w:val="003752D6"/>
    <w:rsid w:val="00380AE8"/>
    <w:rsid w:val="003830DB"/>
    <w:rsid w:val="00387087"/>
    <w:rsid w:val="003925EE"/>
    <w:rsid w:val="00396F17"/>
    <w:rsid w:val="003A0A8A"/>
    <w:rsid w:val="003A4324"/>
    <w:rsid w:val="003A5784"/>
    <w:rsid w:val="003A79AC"/>
    <w:rsid w:val="003B1FFF"/>
    <w:rsid w:val="003B20CD"/>
    <w:rsid w:val="003B2D4A"/>
    <w:rsid w:val="003B5761"/>
    <w:rsid w:val="003C2BB5"/>
    <w:rsid w:val="003C657A"/>
    <w:rsid w:val="003D73BC"/>
    <w:rsid w:val="003E2837"/>
    <w:rsid w:val="003E2D81"/>
    <w:rsid w:val="003E5F44"/>
    <w:rsid w:val="003E7DA1"/>
    <w:rsid w:val="003F0AF7"/>
    <w:rsid w:val="003F1C50"/>
    <w:rsid w:val="003F653B"/>
    <w:rsid w:val="0040782E"/>
    <w:rsid w:val="00411440"/>
    <w:rsid w:val="00412CD4"/>
    <w:rsid w:val="004148B6"/>
    <w:rsid w:val="004153CE"/>
    <w:rsid w:val="00415954"/>
    <w:rsid w:val="004171B3"/>
    <w:rsid w:val="00427AA0"/>
    <w:rsid w:val="0044503C"/>
    <w:rsid w:val="004561B6"/>
    <w:rsid w:val="00456488"/>
    <w:rsid w:val="00457F89"/>
    <w:rsid w:val="004627CF"/>
    <w:rsid w:val="004738AD"/>
    <w:rsid w:val="00475AF0"/>
    <w:rsid w:val="004762E4"/>
    <w:rsid w:val="004800DB"/>
    <w:rsid w:val="00480AF4"/>
    <w:rsid w:val="00481044"/>
    <w:rsid w:val="004811FA"/>
    <w:rsid w:val="0048376D"/>
    <w:rsid w:val="004854DD"/>
    <w:rsid w:val="004913F1"/>
    <w:rsid w:val="00492FE9"/>
    <w:rsid w:val="004A1C55"/>
    <w:rsid w:val="004B393C"/>
    <w:rsid w:val="004C575D"/>
    <w:rsid w:val="004C72D4"/>
    <w:rsid w:val="004C788D"/>
    <w:rsid w:val="004C7A9C"/>
    <w:rsid w:val="004D0552"/>
    <w:rsid w:val="004D326C"/>
    <w:rsid w:val="004D4E91"/>
    <w:rsid w:val="004D6E17"/>
    <w:rsid w:val="004E0632"/>
    <w:rsid w:val="004E22A9"/>
    <w:rsid w:val="004E4AC5"/>
    <w:rsid w:val="004E5757"/>
    <w:rsid w:val="004E7605"/>
    <w:rsid w:val="004F3BC9"/>
    <w:rsid w:val="005024C6"/>
    <w:rsid w:val="005034B4"/>
    <w:rsid w:val="00512864"/>
    <w:rsid w:val="00512D38"/>
    <w:rsid w:val="0051711D"/>
    <w:rsid w:val="0051761E"/>
    <w:rsid w:val="00517848"/>
    <w:rsid w:val="00522849"/>
    <w:rsid w:val="00523CEA"/>
    <w:rsid w:val="005377DE"/>
    <w:rsid w:val="00540F38"/>
    <w:rsid w:val="00545BA8"/>
    <w:rsid w:val="005562AF"/>
    <w:rsid w:val="0055766F"/>
    <w:rsid w:val="00560521"/>
    <w:rsid w:val="00560FD7"/>
    <w:rsid w:val="00561007"/>
    <w:rsid w:val="005651F2"/>
    <w:rsid w:val="00577F99"/>
    <w:rsid w:val="0058037A"/>
    <w:rsid w:val="00582D0A"/>
    <w:rsid w:val="00582DF1"/>
    <w:rsid w:val="00583829"/>
    <w:rsid w:val="005913B7"/>
    <w:rsid w:val="005930B5"/>
    <w:rsid w:val="00594E98"/>
    <w:rsid w:val="005A4A63"/>
    <w:rsid w:val="005B2231"/>
    <w:rsid w:val="005B6D48"/>
    <w:rsid w:val="005C1C33"/>
    <w:rsid w:val="005C4947"/>
    <w:rsid w:val="005C5E1B"/>
    <w:rsid w:val="005C6542"/>
    <w:rsid w:val="005D76E5"/>
    <w:rsid w:val="005E1BB3"/>
    <w:rsid w:val="005E31DF"/>
    <w:rsid w:val="005E3216"/>
    <w:rsid w:val="005F0B27"/>
    <w:rsid w:val="005F2DB5"/>
    <w:rsid w:val="005F4C46"/>
    <w:rsid w:val="005F782C"/>
    <w:rsid w:val="005F7DC7"/>
    <w:rsid w:val="006008E6"/>
    <w:rsid w:val="0060379B"/>
    <w:rsid w:val="006056C9"/>
    <w:rsid w:val="0060778A"/>
    <w:rsid w:val="00614ACA"/>
    <w:rsid w:val="006333F9"/>
    <w:rsid w:val="0065071D"/>
    <w:rsid w:val="006517B4"/>
    <w:rsid w:val="00655950"/>
    <w:rsid w:val="00660DA0"/>
    <w:rsid w:val="0066771B"/>
    <w:rsid w:val="0067092F"/>
    <w:rsid w:val="00671BDE"/>
    <w:rsid w:val="00672EE9"/>
    <w:rsid w:val="0067427C"/>
    <w:rsid w:val="00677DC2"/>
    <w:rsid w:val="006840E2"/>
    <w:rsid w:val="00684334"/>
    <w:rsid w:val="00687970"/>
    <w:rsid w:val="00692C94"/>
    <w:rsid w:val="00696A37"/>
    <w:rsid w:val="006A0070"/>
    <w:rsid w:val="006A2144"/>
    <w:rsid w:val="006A401B"/>
    <w:rsid w:val="006A4111"/>
    <w:rsid w:val="006A52AD"/>
    <w:rsid w:val="006B77B1"/>
    <w:rsid w:val="006C2E3E"/>
    <w:rsid w:val="006C5804"/>
    <w:rsid w:val="006D40F6"/>
    <w:rsid w:val="006E2188"/>
    <w:rsid w:val="006E63F1"/>
    <w:rsid w:val="006E649D"/>
    <w:rsid w:val="006F0DE0"/>
    <w:rsid w:val="006F4396"/>
    <w:rsid w:val="006F533F"/>
    <w:rsid w:val="006F54A5"/>
    <w:rsid w:val="00705B99"/>
    <w:rsid w:val="00705E3F"/>
    <w:rsid w:val="00711155"/>
    <w:rsid w:val="00712F29"/>
    <w:rsid w:val="00715093"/>
    <w:rsid w:val="007207A2"/>
    <w:rsid w:val="0072318B"/>
    <w:rsid w:val="00724E54"/>
    <w:rsid w:val="007268EF"/>
    <w:rsid w:val="0073114E"/>
    <w:rsid w:val="00732254"/>
    <w:rsid w:val="00732E2E"/>
    <w:rsid w:val="00733606"/>
    <w:rsid w:val="00734740"/>
    <w:rsid w:val="0073654B"/>
    <w:rsid w:val="00736901"/>
    <w:rsid w:val="00736E15"/>
    <w:rsid w:val="00741D6C"/>
    <w:rsid w:val="007524BE"/>
    <w:rsid w:val="00770112"/>
    <w:rsid w:val="00784105"/>
    <w:rsid w:val="00784DC3"/>
    <w:rsid w:val="00785171"/>
    <w:rsid w:val="0079146E"/>
    <w:rsid w:val="00794140"/>
    <w:rsid w:val="00795159"/>
    <w:rsid w:val="007962EB"/>
    <w:rsid w:val="007A5470"/>
    <w:rsid w:val="007A7ED4"/>
    <w:rsid w:val="007B2708"/>
    <w:rsid w:val="007B641F"/>
    <w:rsid w:val="007B7B75"/>
    <w:rsid w:val="007C4456"/>
    <w:rsid w:val="007C47EA"/>
    <w:rsid w:val="007D25A9"/>
    <w:rsid w:val="007D2606"/>
    <w:rsid w:val="007D3F0A"/>
    <w:rsid w:val="007D5569"/>
    <w:rsid w:val="007E033E"/>
    <w:rsid w:val="007E0F43"/>
    <w:rsid w:val="007E0FD3"/>
    <w:rsid w:val="007E3FD9"/>
    <w:rsid w:val="0080211E"/>
    <w:rsid w:val="00803B3C"/>
    <w:rsid w:val="008106C2"/>
    <w:rsid w:val="00810FB8"/>
    <w:rsid w:val="008131CB"/>
    <w:rsid w:val="00813790"/>
    <w:rsid w:val="00820E81"/>
    <w:rsid w:val="00822FEF"/>
    <w:rsid w:val="00823D31"/>
    <w:rsid w:val="008247DF"/>
    <w:rsid w:val="00837F0E"/>
    <w:rsid w:val="00842440"/>
    <w:rsid w:val="00845A4B"/>
    <w:rsid w:val="00846968"/>
    <w:rsid w:val="0084757D"/>
    <w:rsid w:val="00852980"/>
    <w:rsid w:val="008719C4"/>
    <w:rsid w:val="00876CCA"/>
    <w:rsid w:val="008773E9"/>
    <w:rsid w:val="0088046B"/>
    <w:rsid w:val="00880C1C"/>
    <w:rsid w:val="008816D4"/>
    <w:rsid w:val="008816DF"/>
    <w:rsid w:val="00883838"/>
    <w:rsid w:val="0088434C"/>
    <w:rsid w:val="008855C2"/>
    <w:rsid w:val="00885715"/>
    <w:rsid w:val="00890C72"/>
    <w:rsid w:val="0089110C"/>
    <w:rsid w:val="00893E7E"/>
    <w:rsid w:val="0089620D"/>
    <w:rsid w:val="008A56DF"/>
    <w:rsid w:val="008A570A"/>
    <w:rsid w:val="008B5365"/>
    <w:rsid w:val="008C1762"/>
    <w:rsid w:val="008C54C7"/>
    <w:rsid w:val="008D036E"/>
    <w:rsid w:val="008E4556"/>
    <w:rsid w:val="008E5B64"/>
    <w:rsid w:val="008E6B53"/>
    <w:rsid w:val="008E7277"/>
    <w:rsid w:val="008F0AA1"/>
    <w:rsid w:val="008F2F74"/>
    <w:rsid w:val="009009F3"/>
    <w:rsid w:val="00905402"/>
    <w:rsid w:val="009128FB"/>
    <w:rsid w:val="00915E3C"/>
    <w:rsid w:val="009244F2"/>
    <w:rsid w:val="00927808"/>
    <w:rsid w:val="009279FA"/>
    <w:rsid w:val="0093020A"/>
    <w:rsid w:val="00942702"/>
    <w:rsid w:val="009433FC"/>
    <w:rsid w:val="0094758F"/>
    <w:rsid w:val="009508BD"/>
    <w:rsid w:val="00951EE0"/>
    <w:rsid w:val="00953DC7"/>
    <w:rsid w:val="00962E06"/>
    <w:rsid w:val="00962E61"/>
    <w:rsid w:val="00967CA4"/>
    <w:rsid w:val="00980563"/>
    <w:rsid w:val="009815C8"/>
    <w:rsid w:val="00981C41"/>
    <w:rsid w:val="00992E4E"/>
    <w:rsid w:val="009952C6"/>
    <w:rsid w:val="009A5517"/>
    <w:rsid w:val="009B2506"/>
    <w:rsid w:val="009B2922"/>
    <w:rsid w:val="009B3CA7"/>
    <w:rsid w:val="009B6C16"/>
    <w:rsid w:val="009C3362"/>
    <w:rsid w:val="009C54D4"/>
    <w:rsid w:val="009C60B1"/>
    <w:rsid w:val="009C6686"/>
    <w:rsid w:val="009C690D"/>
    <w:rsid w:val="009C6D53"/>
    <w:rsid w:val="009D2660"/>
    <w:rsid w:val="009D5BEF"/>
    <w:rsid w:val="009D648F"/>
    <w:rsid w:val="009E14D1"/>
    <w:rsid w:val="009E3BF7"/>
    <w:rsid w:val="009E5760"/>
    <w:rsid w:val="009E587C"/>
    <w:rsid w:val="009F1887"/>
    <w:rsid w:val="009F1F7F"/>
    <w:rsid w:val="009F68B1"/>
    <w:rsid w:val="009F68E1"/>
    <w:rsid w:val="00A00B89"/>
    <w:rsid w:val="00A01008"/>
    <w:rsid w:val="00A15DBA"/>
    <w:rsid w:val="00A17D90"/>
    <w:rsid w:val="00A25018"/>
    <w:rsid w:val="00A25F8A"/>
    <w:rsid w:val="00A32C55"/>
    <w:rsid w:val="00A338FE"/>
    <w:rsid w:val="00A4137D"/>
    <w:rsid w:val="00A42024"/>
    <w:rsid w:val="00A43304"/>
    <w:rsid w:val="00A4585A"/>
    <w:rsid w:val="00A54A02"/>
    <w:rsid w:val="00A60E87"/>
    <w:rsid w:val="00A63D5C"/>
    <w:rsid w:val="00A64C4D"/>
    <w:rsid w:val="00A66C82"/>
    <w:rsid w:val="00A67503"/>
    <w:rsid w:val="00A72A66"/>
    <w:rsid w:val="00A76D75"/>
    <w:rsid w:val="00A81CF2"/>
    <w:rsid w:val="00A8538D"/>
    <w:rsid w:val="00A960D3"/>
    <w:rsid w:val="00A97CC0"/>
    <w:rsid w:val="00AA324F"/>
    <w:rsid w:val="00AA381C"/>
    <w:rsid w:val="00AA67D6"/>
    <w:rsid w:val="00AB3839"/>
    <w:rsid w:val="00AC080F"/>
    <w:rsid w:val="00AC1651"/>
    <w:rsid w:val="00AC27B4"/>
    <w:rsid w:val="00AD21A9"/>
    <w:rsid w:val="00AD6CEF"/>
    <w:rsid w:val="00AE7316"/>
    <w:rsid w:val="00B0158A"/>
    <w:rsid w:val="00B032EF"/>
    <w:rsid w:val="00B04686"/>
    <w:rsid w:val="00B114A3"/>
    <w:rsid w:val="00B11D57"/>
    <w:rsid w:val="00B16168"/>
    <w:rsid w:val="00B17226"/>
    <w:rsid w:val="00B20769"/>
    <w:rsid w:val="00B21ACA"/>
    <w:rsid w:val="00B21FB5"/>
    <w:rsid w:val="00B33FFA"/>
    <w:rsid w:val="00B34433"/>
    <w:rsid w:val="00B34DCC"/>
    <w:rsid w:val="00B37B86"/>
    <w:rsid w:val="00B5020F"/>
    <w:rsid w:val="00B5055C"/>
    <w:rsid w:val="00B52959"/>
    <w:rsid w:val="00B5477C"/>
    <w:rsid w:val="00B61710"/>
    <w:rsid w:val="00B62D5F"/>
    <w:rsid w:val="00B65044"/>
    <w:rsid w:val="00B66A14"/>
    <w:rsid w:val="00B72454"/>
    <w:rsid w:val="00B73D5A"/>
    <w:rsid w:val="00B73F38"/>
    <w:rsid w:val="00B745C9"/>
    <w:rsid w:val="00B74A14"/>
    <w:rsid w:val="00B74E70"/>
    <w:rsid w:val="00B75C0E"/>
    <w:rsid w:val="00B80D7C"/>
    <w:rsid w:val="00B826CE"/>
    <w:rsid w:val="00B93D91"/>
    <w:rsid w:val="00B959BE"/>
    <w:rsid w:val="00BA0927"/>
    <w:rsid w:val="00BA2624"/>
    <w:rsid w:val="00BA3763"/>
    <w:rsid w:val="00BA7B00"/>
    <w:rsid w:val="00BB0B3B"/>
    <w:rsid w:val="00BB606A"/>
    <w:rsid w:val="00BC57F9"/>
    <w:rsid w:val="00BD7219"/>
    <w:rsid w:val="00BE095E"/>
    <w:rsid w:val="00BE3A5D"/>
    <w:rsid w:val="00BE6F1C"/>
    <w:rsid w:val="00BF1286"/>
    <w:rsid w:val="00BF2769"/>
    <w:rsid w:val="00BF72EC"/>
    <w:rsid w:val="00C0594B"/>
    <w:rsid w:val="00C121D8"/>
    <w:rsid w:val="00C1383B"/>
    <w:rsid w:val="00C14E94"/>
    <w:rsid w:val="00C16AD6"/>
    <w:rsid w:val="00C258AA"/>
    <w:rsid w:val="00C3187C"/>
    <w:rsid w:val="00C32A83"/>
    <w:rsid w:val="00C3354D"/>
    <w:rsid w:val="00C35691"/>
    <w:rsid w:val="00C36F91"/>
    <w:rsid w:val="00C42AAC"/>
    <w:rsid w:val="00C50ADD"/>
    <w:rsid w:val="00C51A8F"/>
    <w:rsid w:val="00C52B59"/>
    <w:rsid w:val="00C54AD7"/>
    <w:rsid w:val="00C56388"/>
    <w:rsid w:val="00C60FDC"/>
    <w:rsid w:val="00C614EE"/>
    <w:rsid w:val="00C639F5"/>
    <w:rsid w:val="00C648A0"/>
    <w:rsid w:val="00C7530C"/>
    <w:rsid w:val="00C860E6"/>
    <w:rsid w:val="00C86762"/>
    <w:rsid w:val="00C86783"/>
    <w:rsid w:val="00C87381"/>
    <w:rsid w:val="00C90906"/>
    <w:rsid w:val="00C91555"/>
    <w:rsid w:val="00C93BB1"/>
    <w:rsid w:val="00C9429B"/>
    <w:rsid w:val="00C964C0"/>
    <w:rsid w:val="00C970A6"/>
    <w:rsid w:val="00CA1E55"/>
    <w:rsid w:val="00CA3294"/>
    <w:rsid w:val="00CA7632"/>
    <w:rsid w:val="00CA796A"/>
    <w:rsid w:val="00CC0144"/>
    <w:rsid w:val="00CC0DB3"/>
    <w:rsid w:val="00CC2374"/>
    <w:rsid w:val="00CC417E"/>
    <w:rsid w:val="00CC7D9A"/>
    <w:rsid w:val="00CD026B"/>
    <w:rsid w:val="00CD37C6"/>
    <w:rsid w:val="00CD4D2D"/>
    <w:rsid w:val="00CD7120"/>
    <w:rsid w:val="00CE43CA"/>
    <w:rsid w:val="00D01B59"/>
    <w:rsid w:val="00D1612A"/>
    <w:rsid w:val="00D17147"/>
    <w:rsid w:val="00D17829"/>
    <w:rsid w:val="00D220C1"/>
    <w:rsid w:val="00D2247D"/>
    <w:rsid w:val="00D227F8"/>
    <w:rsid w:val="00D23A07"/>
    <w:rsid w:val="00D23AE8"/>
    <w:rsid w:val="00D24C5C"/>
    <w:rsid w:val="00D268A0"/>
    <w:rsid w:val="00D27659"/>
    <w:rsid w:val="00D27DBC"/>
    <w:rsid w:val="00D3410B"/>
    <w:rsid w:val="00D34427"/>
    <w:rsid w:val="00D35068"/>
    <w:rsid w:val="00D413A9"/>
    <w:rsid w:val="00D47CD0"/>
    <w:rsid w:val="00D5744F"/>
    <w:rsid w:val="00D645F0"/>
    <w:rsid w:val="00D723A2"/>
    <w:rsid w:val="00D7386A"/>
    <w:rsid w:val="00D747C9"/>
    <w:rsid w:val="00D765CE"/>
    <w:rsid w:val="00D8592A"/>
    <w:rsid w:val="00D86DAA"/>
    <w:rsid w:val="00D90676"/>
    <w:rsid w:val="00D92DB0"/>
    <w:rsid w:val="00D94045"/>
    <w:rsid w:val="00D945B1"/>
    <w:rsid w:val="00D95205"/>
    <w:rsid w:val="00D970E7"/>
    <w:rsid w:val="00D971A7"/>
    <w:rsid w:val="00DA0AA7"/>
    <w:rsid w:val="00DA1488"/>
    <w:rsid w:val="00DA1AC9"/>
    <w:rsid w:val="00DA5BBD"/>
    <w:rsid w:val="00DA619E"/>
    <w:rsid w:val="00DB1876"/>
    <w:rsid w:val="00DB3BC3"/>
    <w:rsid w:val="00DB6F15"/>
    <w:rsid w:val="00DC16BD"/>
    <w:rsid w:val="00DC3D8A"/>
    <w:rsid w:val="00DC531B"/>
    <w:rsid w:val="00DC781A"/>
    <w:rsid w:val="00DD64C6"/>
    <w:rsid w:val="00DF271F"/>
    <w:rsid w:val="00DF3146"/>
    <w:rsid w:val="00DF3B26"/>
    <w:rsid w:val="00DF4BF5"/>
    <w:rsid w:val="00E019A2"/>
    <w:rsid w:val="00E03697"/>
    <w:rsid w:val="00E049FD"/>
    <w:rsid w:val="00E137D6"/>
    <w:rsid w:val="00E208D2"/>
    <w:rsid w:val="00E2166B"/>
    <w:rsid w:val="00E35E24"/>
    <w:rsid w:val="00E36AEB"/>
    <w:rsid w:val="00E37DCD"/>
    <w:rsid w:val="00E40D15"/>
    <w:rsid w:val="00E40F62"/>
    <w:rsid w:val="00E43093"/>
    <w:rsid w:val="00E60B15"/>
    <w:rsid w:val="00E6595A"/>
    <w:rsid w:val="00E70481"/>
    <w:rsid w:val="00E71BD7"/>
    <w:rsid w:val="00E76C19"/>
    <w:rsid w:val="00E84524"/>
    <w:rsid w:val="00E8737F"/>
    <w:rsid w:val="00E92B1B"/>
    <w:rsid w:val="00E92D28"/>
    <w:rsid w:val="00E943AC"/>
    <w:rsid w:val="00E974F6"/>
    <w:rsid w:val="00E97B07"/>
    <w:rsid w:val="00EA5BB1"/>
    <w:rsid w:val="00EA7C41"/>
    <w:rsid w:val="00EB2EC8"/>
    <w:rsid w:val="00EC5EC8"/>
    <w:rsid w:val="00EC7862"/>
    <w:rsid w:val="00ED005E"/>
    <w:rsid w:val="00ED7746"/>
    <w:rsid w:val="00EF557A"/>
    <w:rsid w:val="00EF5ED0"/>
    <w:rsid w:val="00EF6C06"/>
    <w:rsid w:val="00EF710D"/>
    <w:rsid w:val="00EF76A2"/>
    <w:rsid w:val="00F01BFA"/>
    <w:rsid w:val="00F062FF"/>
    <w:rsid w:val="00F101B1"/>
    <w:rsid w:val="00F119E4"/>
    <w:rsid w:val="00F20BFE"/>
    <w:rsid w:val="00F219ED"/>
    <w:rsid w:val="00F23EF0"/>
    <w:rsid w:val="00F32256"/>
    <w:rsid w:val="00F351B2"/>
    <w:rsid w:val="00F41D5A"/>
    <w:rsid w:val="00F42729"/>
    <w:rsid w:val="00F436D1"/>
    <w:rsid w:val="00F4424E"/>
    <w:rsid w:val="00F4484D"/>
    <w:rsid w:val="00F521ED"/>
    <w:rsid w:val="00F52512"/>
    <w:rsid w:val="00F566D3"/>
    <w:rsid w:val="00F62541"/>
    <w:rsid w:val="00F62957"/>
    <w:rsid w:val="00F6340E"/>
    <w:rsid w:val="00F634AF"/>
    <w:rsid w:val="00F64B86"/>
    <w:rsid w:val="00F66B6C"/>
    <w:rsid w:val="00F71EBF"/>
    <w:rsid w:val="00F74E4C"/>
    <w:rsid w:val="00F76C0C"/>
    <w:rsid w:val="00F8225C"/>
    <w:rsid w:val="00F8323E"/>
    <w:rsid w:val="00F90A06"/>
    <w:rsid w:val="00F9155A"/>
    <w:rsid w:val="00F9242C"/>
    <w:rsid w:val="00F9365E"/>
    <w:rsid w:val="00F9795D"/>
    <w:rsid w:val="00FA0BEE"/>
    <w:rsid w:val="00FA1EDD"/>
    <w:rsid w:val="00FA6BE6"/>
    <w:rsid w:val="00FA7EE9"/>
    <w:rsid w:val="00FC2676"/>
    <w:rsid w:val="00FC3EA6"/>
    <w:rsid w:val="00FD6AAB"/>
    <w:rsid w:val="00FE0B2F"/>
    <w:rsid w:val="00FE5B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EE66DBA-3F66-42DA-B471-C72930B1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2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4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35E24"/>
  </w:style>
  <w:style w:type="character" w:styleId="-">
    <w:name w:val="Hyperlink"/>
    <w:basedOn w:val="a0"/>
    <w:unhideWhenUsed/>
    <w:rsid w:val="00137E4B"/>
    <w:rPr>
      <w:color w:val="0000FF"/>
      <w:u w:val="single"/>
    </w:rPr>
  </w:style>
  <w:style w:type="character" w:styleId="-0">
    <w:name w:val="FollowedHyperlink"/>
    <w:basedOn w:val="a0"/>
    <w:uiPriority w:val="99"/>
    <w:semiHidden/>
    <w:unhideWhenUsed/>
    <w:rsid w:val="00F566D3"/>
    <w:rPr>
      <w:color w:val="800080" w:themeColor="followedHyperlink"/>
      <w:u w:val="single"/>
    </w:rPr>
  </w:style>
  <w:style w:type="paragraph" w:styleId="a4">
    <w:name w:val="Balloon Text"/>
    <w:basedOn w:val="a"/>
    <w:link w:val="Char"/>
    <w:uiPriority w:val="99"/>
    <w:semiHidden/>
    <w:unhideWhenUsed/>
    <w:rsid w:val="00FC3EA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C3EA6"/>
    <w:rPr>
      <w:rFonts w:ascii="Tahoma" w:hAnsi="Tahoma" w:cs="Tahoma"/>
      <w:sz w:val="16"/>
      <w:szCs w:val="16"/>
    </w:rPr>
  </w:style>
  <w:style w:type="paragraph" w:styleId="a5">
    <w:name w:val="header"/>
    <w:basedOn w:val="a"/>
    <w:link w:val="Char0"/>
    <w:unhideWhenUsed/>
    <w:rsid w:val="00BD7219"/>
    <w:pPr>
      <w:tabs>
        <w:tab w:val="center" w:pos="4153"/>
        <w:tab w:val="right" w:pos="8306"/>
      </w:tabs>
      <w:spacing w:after="0" w:line="240" w:lineRule="auto"/>
    </w:pPr>
  </w:style>
  <w:style w:type="character" w:customStyle="1" w:styleId="Char0">
    <w:name w:val="Κεφαλίδα Char"/>
    <w:basedOn w:val="a0"/>
    <w:link w:val="a5"/>
    <w:uiPriority w:val="99"/>
    <w:semiHidden/>
    <w:rsid w:val="00BD7219"/>
  </w:style>
  <w:style w:type="paragraph" w:styleId="a6">
    <w:name w:val="footer"/>
    <w:basedOn w:val="a"/>
    <w:link w:val="Char1"/>
    <w:unhideWhenUsed/>
    <w:rsid w:val="00BD7219"/>
    <w:pPr>
      <w:tabs>
        <w:tab w:val="center" w:pos="4153"/>
        <w:tab w:val="right" w:pos="8306"/>
      </w:tabs>
      <w:spacing w:after="0" w:line="240" w:lineRule="auto"/>
    </w:pPr>
  </w:style>
  <w:style w:type="character" w:customStyle="1" w:styleId="Char1">
    <w:name w:val="Υποσέλιδο Char"/>
    <w:basedOn w:val="a0"/>
    <w:link w:val="a6"/>
    <w:uiPriority w:val="99"/>
    <w:semiHidden/>
    <w:rsid w:val="00BD7219"/>
  </w:style>
  <w:style w:type="paragraph" w:styleId="2">
    <w:name w:val="Body Text Indent 2"/>
    <w:basedOn w:val="a"/>
    <w:link w:val="2Char"/>
    <w:rsid w:val="009F68E1"/>
    <w:pPr>
      <w:spacing w:after="0" w:line="240" w:lineRule="auto"/>
      <w:ind w:right="43" w:firstLine="360"/>
      <w:jc w:val="both"/>
    </w:pPr>
    <w:rPr>
      <w:rFonts w:ascii="Times New Roman" w:eastAsia="Times New Roman" w:hAnsi="Times New Roman" w:cs="Times New Roman"/>
      <w:kern w:val="16"/>
      <w:sz w:val="28"/>
      <w:szCs w:val="20"/>
    </w:rPr>
  </w:style>
  <w:style w:type="character" w:customStyle="1" w:styleId="2Char">
    <w:name w:val="Σώμα κείμενου με εσοχή 2 Char"/>
    <w:basedOn w:val="a0"/>
    <w:link w:val="2"/>
    <w:rsid w:val="009F68E1"/>
    <w:rPr>
      <w:rFonts w:ascii="Times New Roman" w:eastAsia="Times New Roman" w:hAnsi="Times New Roman" w:cs="Times New Roman"/>
      <w:kern w:val="16"/>
      <w:sz w:val="28"/>
      <w:szCs w:val="20"/>
    </w:rPr>
  </w:style>
  <w:style w:type="paragraph" w:styleId="a7">
    <w:name w:val="List Paragraph"/>
    <w:basedOn w:val="a"/>
    <w:uiPriority w:val="34"/>
    <w:qFormat/>
    <w:rsid w:val="009E5760"/>
    <w:pPr>
      <w:ind w:left="720"/>
      <w:contextualSpacing/>
    </w:pPr>
  </w:style>
  <w:style w:type="paragraph" w:styleId="Web">
    <w:name w:val="Normal (Web)"/>
    <w:basedOn w:val="a"/>
    <w:uiPriority w:val="99"/>
    <w:unhideWhenUsed/>
    <w:rsid w:val="00492FE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og-bodytext">
    <w:name w:val="bog-bodytext"/>
    <w:basedOn w:val="a0"/>
    <w:rsid w:val="006F4396"/>
  </w:style>
  <w:style w:type="paragraph" w:styleId="a8">
    <w:name w:val="footnote text"/>
    <w:basedOn w:val="a"/>
    <w:link w:val="Char2"/>
    <w:uiPriority w:val="99"/>
    <w:semiHidden/>
    <w:unhideWhenUsed/>
    <w:rsid w:val="003725E6"/>
    <w:pPr>
      <w:spacing w:after="0" w:line="240" w:lineRule="auto"/>
      <w:ind w:left="1434" w:hanging="357"/>
    </w:pPr>
    <w:rPr>
      <w:sz w:val="20"/>
      <w:szCs w:val="20"/>
    </w:rPr>
  </w:style>
  <w:style w:type="character" w:customStyle="1" w:styleId="Char2">
    <w:name w:val="Κείμενο υποσημείωσης Char"/>
    <w:basedOn w:val="a0"/>
    <w:link w:val="a8"/>
    <w:uiPriority w:val="99"/>
    <w:semiHidden/>
    <w:rsid w:val="003725E6"/>
    <w:rPr>
      <w:sz w:val="20"/>
      <w:szCs w:val="20"/>
    </w:rPr>
  </w:style>
  <w:style w:type="character" w:styleId="a9">
    <w:name w:val="footnote reference"/>
    <w:basedOn w:val="a0"/>
    <w:uiPriority w:val="99"/>
    <w:semiHidden/>
    <w:unhideWhenUsed/>
    <w:rsid w:val="003725E6"/>
    <w:rPr>
      <w:vertAlign w:val="superscript"/>
    </w:rPr>
  </w:style>
  <w:style w:type="paragraph" w:styleId="aa">
    <w:name w:val="Body Text"/>
    <w:basedOn w:val="a"/>
    <w:link w:val="Char3"/>
    <w:unhideWhenUsed/>
    <w:rsid w:val="003725E6"/>
    <w:pPr>
      <w:spacing w:after="120"/>
    </w:pPr>
  </w:style>
  <w:style w:type="character" w:customStyle="1" w:styleId="Char3">
    <w:name w:val="Σώμα κειμένου Char"/>
    <w:basedOn w:val="a0"/>
    <w:link w:val="aa"/>
    <w:rsid w:val="003725E6"/>
  </w:style>
  <w:style w:type="paragraph" w:styleId="ab">
    <w:name w:val="Plain Text"/>
    <w:basedOn w:val="a"/>
    <w:link w:val="Char4"/>
    <w:rsid w:val="003725E6"/>
    <w:pPr>
      <w:spacing w:after="0" w:line="240" w:lineRule="auto"/>
    </w:pPr>
    <w:rPr>
      <w:rFonts w:ascii="Courier New" w:eastAsia="Μοντέρνα" w:hAnsi="Courier New" w:cs="Times New Roman"/>
      <w:sz w:val="20"/>
      <w:szCs w:val="20"/>
      <w:lang w:eastAsia="el-GR"/>
    </w:rPr>
  </w:style>
  <w:style w:type="character" w:customStyle="1" w:styleId="Char4">
    <w:name w:val="Απλό κείμενο Char"/>
    <w:basedOn w:val="a0"/>
    <w:link w:val="ab"/>
    <w:rsid w:val="003725E6"/>
    <w:rPr>
      <w:rFonts w:ascii="Courier New" w:eastAsia="Μοντέρνα" w:hAnsi="Courier New" w:cs="Times New Roman"/>
      <w:sz w:val="20"/>
      <w:szCs w:val="20"/>
      <w:lang w:eastAsia="el-GR"/>
    </w:rPr>
  </w:style>
  <w:style w:type="character" w:styleId="ac">
    <w:name w:val="page number"/>
    <w:basedOn w:val="a0"/>
    <w:rsid w:val="003725E6"/>
  </w:style>
  <w:style w:type="paragraph" w:customStyle="1" w:styleId="Default">
    <w:name w:val="Default"/>
    <w:rsid w:val="003725E6"/>
    <w:pPr>
      <w:autoSpaceDE w:val="0"/>
      <w:autoSpaceDN w:val="0"/>
      <w:adjustRightInd w:val="0"/>
      <w:spacing w:after="0" w:line="240" w:lineRule="auto"/>
    </w:pPr>
    <w:rPr>
      <w:rFonts w:ascii="Arial" w:eastAsia="Times New Roman" w:hAnsi="Arial" w:cs="Arial"/>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100756">
      <w:bodyDiv w:val="1"/>
      <w:marLeft w:val="0"/>
      <w:marRight w:val="0"/>
      <w:marTop w:val="0"/>
      <w:marBottom w:val="0"/>
      <w:divBdr>
        <w:top w:val="none" w:sz="0" w:space="0" w:color="auto"/>
        <w:left w:val="none" w:sz="0" w:space="0" w:color="auto"/>
        <w:bottom w:val="none" w:sz="0" w:space="0" w:color="auto"/>
        <w:right w:val="none" w:sz="0" w:space="0" w:color="auto"/>
      </w:divBdr>
    </w:div>
    <w:div w:id="422645980">
      <w:bodyDiv w:val="1"/>
      <w:marLeft w:val="0"/>
      <w:marRight w:val="0"/>
      <w:marTop w:val="0"/>
      <w:marBottom w:val="0"/>
      <w:divBdr>
        <w:top w:val="none" w:sz="0" w:space="0" w:color="auto"/>
        <w:left w:val="none" w:sz="0" w:space="0" w:color="auto"/>
        <w:bottom w:val="none" w:sz="0" w:space="0" w:color="auto"/>
        <w:right w:val="none" w:sz="0" w:space="0" w:color="auto"/>
      </w:divBdr>
    </w:div>
    <w:div w:id="549999083">
      <w:bodyDiv w:val="1"/>
      <w:marLeft w:val="0"/>
      <w:marRight w:val="0"/>
      <w:marTop w:val="0"/>
      <w:marBottom w:val="0"/>
      <w:divBdr>
        <w:top w:val="none" w:sz="0" w:space="0" w:color="auto"/>
        <w:left w:val="none" w:sz="0" w:space="0" w:color="auto"/>
        <w:bottom w:val="none" w:sz="0" w:space="0" w:color="auto"/>
        <w:right w:val="none" w:sz="0" w:space="0" w:color="auto"/>
      </w:divBdr>
    </w:div>
    <w:div w:id="552931776">
      <w:bodyDiv w:val="1"/>
      <w:marLeft w:val="0"/>
      <w:marRight w:val="0"/>
      <w:marTop w:val="0"/>
      <w:marBottom w:val="0"/>
      <w:divBdr>
        <w:top w:val="none" w:sz="0" w:space="0" w:color="auto"/>
        <w:left w:val="none" w:sz="0" w:space="0" w:color="auto"/>
        <w:bottom w:val="none" w:sz="0" w:space="0" w:color="auto"/>
        <w:right w:val="none" w:sz="0" w:space="0" w:color="auto"/>
      </w:divBdr>
    </w:div>
    <w:div w:id="762916955">
      <w:bodyDiv w:val="1"/>
      <w:marLeft w:val="0"/>
      <w:marRight w:val="0"/>
      <w:marTop w:val="0"/>
      <w:marBottom w:val="0"/>
      <w:divBdr>
        <w:top w:val="none" w:sz="0" w:space="0" w:color="auto"/>
        <w:left w:val="none" w:sz="0" w:space="0" w:color="auto"/>
        <w:bottom w:val="none" w:sz="0" w:space="0" w:color="auto"/>
        <w:right w:val="none" w:sz="0" w:space="0" w:color="auto"/>
      </w:divBdr>
    </w:div>
    <w:div w:id="947809172">
      <w:bodyDiv w:val="1"/>
      <w:marLeft w:val="0"/>
      <w:marRight w:val="0"/>
      <w:marTop w:val="0"/>
      <w:marBottom w:val="0"/>
      <w:divBdr>
        <w:top w:val="none" w:sz="0" w:space="0" w:color="auto"/>
        <w:left w:val="none" w:sz="0" w:space="0" w:color="auto"/>
        <w:bottom w:val="none" w:sz="0" w:space="0" w:color="auto"/>
        <w:right w:val="none" w:sz="0" w:space="0" w:color="auto"/>
      </w:divBdr>
    </w:div>
    <w:div w:id="1041174566">
      <w:bodyDiv w:val="1"/>
      <w:marLeft w:val="0"/>
      <w:marRight w:val="0"/>
      <w:marTop w:val="0"/>
      <w:marBottom w:val="0"/>
      <w:divBdr>
        <w:top w:val="none" w:sz="0" w:space="0" w:color="auto"/>
        <w:left w:val="none" w:sz="0" w:space="0" w:color="auto"/>
        <w:bottom w:val="none" w:sz="0" w:space="0" w:color="auto"/>
        <w:right w:val="none" w:sz="0" w:space="0" w:color="auto"/>
      </w:divBdr>
    </w:div>
    <w:div w:id="1061440367">
      <w:bodyDiv w:val="1"/>
      <w:marLeft w:val="0"/>
      <w:marRight w:val="0"/>
      <w:marTop w:val="0"/>
      <w:marBottom w:val="0"/>
      <w:divBdr>
        <w:top w:val="none" w:sz="0" w:space="0" w:color="auto"/>
        <w:left w:val="none" w:sz="0" w:space="0" w:color="auto"/>
        <w:bottom w:val="none" w:sz="0" w:space="0" w:color="auto"/>
        <w:right w:val="none" w:sz="0" w:space="0" w:color="auto"/>
      </w:divBdr>
    </w:div>
    <w:div w:id="1122765750">
      <w:bodyDiv w:val="1"/>
      <w:marLeft w:val="0"/>
      <w:marRight w:val="0"/>
      <w:marTop w:val="0"/>
      <w:marBottom w:val="0"/>
      <w:divBdr>
        <w:top w:val="none" w:sz="0" w:space="0" w:color="auto"/>
        <w:left w:val="none" w:sz="0" w:space="0" w:color="auto"/>
        <w:bottom w:val="none" w:sz="0" w:space="0" w:color="auto"/>
        <w:right w:val="none" w:sz="0" w:space="0" w:color="auto"/>
      </w:divBdr>
    </w:div>
    <w:div w:id="1325162803">
      <w:bodyDiv w:val="1"/>
      <w:marLeft w:val="0"/>
      <w:marRight w:val="0"/>
      <w:marTop w:val="0"/>
      <w:marBottom w:val="0"/>
      <w:divBdr>
        <w:top w:val="none" w:sz="0" w:space="0" w:color="auto"/>
        <w:left w:val="none" w:sz="0" w:space="0" w:color="auto"/>
        <w:bottom w:val="none" w:sz="0" w:space="0" w:color="auto"/>
        <w:right w:val="none" w:sz="0" w:space="0" w:color="auto"/>
      </w:divBdr>
    </w:div>
    <w:div w:id="1403985014">
      <w:bodyDiv w:val="1"/>
      <w:marLeft w:val="0"/>
      <w:marRight w:val="0"/>
      <w:marTop w:val="0"/>
      <w:marBottom w:val="0"/>
      <w:divBdr>
        <w:top w:val="none" w:sz="0" w:space="0" w:color="auto"/>
        <w:left w:val="none" w:sz="0" w:space="0" w:color="auto"/>
        <w:bottom w:val="none" w:sz="0" w:space="0" w:color="auto"/>
        <w:right w:val="none" w:sz="0" w:space="0" w:color="auto"/>
      </w:divBdr>
    </w:div>
    <w:div w:id="1775905683">
      <w:bodyDiv w:val="1"/>
      <w:marLeft w:val="0"/>
      <w:marRight w:val="0"/>
      <w:marTop w:val="0"/>
      <w:marBottom w:val="0"/>
      <w:divBdr>
        <w:top w:val="none" w:sz="0" w:space="0" w:color="auto"/>
        <w:left w:val="none" w:sz="0" w:space="0" w:color="auto"/>
        <w:bottom w:val="none" w:sz="0" w:space="0" w:color="auto"/>
        <w:right w:val="none" w:sz="0" w:space="0" w:color="auto"/>
      </w:divBdr>
    </w:div>
    <w:div w:id="1805654646">
      <w:bodyDiv w:val="1"/>
      <w:marLeft w:val="0"/>
      <w:marRight w:val="0"/>
      <w:marTop w:val="0"/>
      <w:marBottom w:val="0"/>
      <w:divBdr>
        <w:top w:val="none" w:sz="0" w:space="0" w:color="auto"/>
        <w:left w:val="none" w:sz="0" w:space="0" w:color="auto"/>
        <w:bottom w:val="none" w:sz="0" w:space="0" w:color="auto"/>
        <w:right w:val="none" w:sz="0" w:space="0" w:color="auto"/>
      </w:divBdr>
    </w:div>
    <w:div w:id="1820926330">
      <w:bodyDiv w:val="1"/>
      <w:marLeft w:val="0"/>
      <w:marRight w:val="0"/>
      <w:marTop w:val="0"/>
      <w:marBottom w:val="0"/>
      <w:divBdr>
        <w:top w:val="none" w:sz="0" w:space="0" w:color="auto"/>
        <w:left w:val="none" w:sz="0" w:space="0" w:color="auto"/>
        <w:bottom w:val="none" w:sz="0" w:space="0" w:color="auto"/>
        <w:right w:val="none" w:sz="0" w:space="0" w:color="auto"/>
      </w:divBdr>
    </w:div>
    <w:div w:id="205156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45B1A-EF22-448F-A0CC-43CC7489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1841</Words>
  <Characters>9944</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Pavlos Sioutas</dc:creator>
  <cp:lastModifiedBy>Othonas Siagas</cp:lastModifiedBy>
  <cp:revision>4</cp:revision>
  <cp:lastPrinted>2018-07-12T07:59:00Z</cp:lastPrinted>
  <dcterms:created xsi:type="dcterms:W3CDTF">2018-07-10T20:04:00Z</dcterms:created>
  <dcterms:modified xsi:type="dcterms:W3CDTF">2018-07-12T09:32:00Z</dcterms:modified>
</cp:coreProperties>
</file>