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7CB" w:rsidRDefault="004637CB" w:rsidP="00134AD6">
      <w:pPr>
        <w:pStyle w:val="bodytextindent"/>
        <w:spacing w:before="120" w:beforeAutospacing="0" w:after="0" w:afterAutospacing="0"/>
        <w:jc w:val="center"/>
        <w:rPr>
          <w:rFonts w:ascii="Arial" w:hAnsi="Arial" w:cs="Arial"/>
          <w:b/>
          <w:sz w:val="32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20"/>
          <w:u w:val="single"/>
        </w:rPr>
        <w:t>ΣΥΝΕΤΑΙΡΙΣΤΙΚΗ ΤΡΑΠΕΖΑ ΘΕΣΣΑΛΙΑΣ</w:t>
      </w:r>
    </w:p>
    <w:p w:rsidR="004637CB" w:rsidRDefault="004637CB" w:rsidP="00134AD6">
      <w:pPr>
        <w:pStyle w:val="bodytextindent"/>
        <w:spacing w:before="120" w:beforeAutospacing="0" w:after="0" w:afterAutospacing="0"/>
        <w:rPr>
          <w:b/>
          <w:sz w:val="32"/>
          <w:szCs w:val="20"/>
          <w:u w:val="single"/>
        </w:rPr>
      </w:pPr>
    </w:p>
    <w:p w:rsidR="004637CB" w:rsidRPr="00DD67AA" w:rsidRDefault="004637CB" w:rsidP="00134AD6">
      <w:pPr>
        <w:pStyle w:val="bodytextindent"/>
        <w:spacing w:before="120" w:beforeAutospacing="0" w:after="0" w:afterAutospacing="0"/>
        <w:jc w:val="center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ΕΙΣΗΓΗΣΗ ΤΟΥ ΔΙΟΙΚΗΤΙΚΟΥ ΣΥΜΒΟΥΛΙΟΥ ΠΡΟΣ ΤΗ ΓΕΝΙΚΗ ΣΥΝΕΛΕΥΣΗ ΤΗΣ </w:t>
      </w:r>
      <w:r w:rsidR="000D763C">
        <w:rPr>
          <w:rFonts w:ascii="Arial" w:hAnsi="Arial" w:cs="Arial"/>
          <w:b/>
          <w:sz w:val="22"/>
          <w:szCs w:val="20"/>
        </w:rPr>
        <w:t>1</w:t>
      </w:r>
      <w:r w:rsidR="00DD67AA" w:rsidRPr="00DD67AA">
        <w:rPr>
          <w:rFonts w:ascii="Arial" w:hAnsi="Arial" w:cs="Arial"/>
          <w:b/>
          <w:sz w:val="22"/>
          <w:szCs w:val="20"/>
        </w:rPr>
        <w:t>2</w:t>
      </w:r>
      <w:r>
        <w:rPr>
          <w:rFonts w:ascii="Arial" w:hAnsi="Arial" w:cs="Arial"/>
          <w:b/>
          <w:sz w:val="22"/>
          <w:szCs w:val="20"/>
        </w:rPr>
        <w:t>/0</w:t>
      </w:r>
      <w:r w:rsidR="00165EAC">
        <w:rPr>
          <w:rFonts w:ascii="Arial" w:hAnsi="Arial" w:cs="Arial"/>
          <w:b/>
          <w:sz w:val="22"/>
          <w:szCs w:val="20"/>
        </w:rPr>
        <w:t>7</w:t>
      </w:r>
      <w:r>
        <w:rPr>
          <w:rFonts w:ascii="Arial" w:hAnsi="Arial" w:cs="Arial"/>
          <w:b/>
          <w:sz w:val="22"/>
          <w:szCs w:val="20"/>
        </w:rPr>
        <w:t>/201</w:t>
      </w:r>
      <w:r w:rsidR="00DD67AA" w:rsidRPr="00DD67AA">
        <w:rPr>
          <w:rFonts w:ascii="Arial" w:hAnsi="Arial" w:cs="Arial"/>
          <w:b/>
          <w:sz w:val="22"/>
          <w:szCs w:val="20"/>
        </w:rPr>
        <w:t>8</w:t>
      </w:r>
    </w:p>
    <w:p w:rsidR="004637CB" w:rsidRDefault="004637CB" w:rsidP="00134AD6">
      <w:pPr>
        <w:pStyle w:val="bodytextindent"/>
        <w:spacing w:before="120" w:beforeAutospacing="0" w:after="0" w:afterAutospacing="0"/>
        <w:jc w:val="both"/>
        <w:rPr>
          <w:b/>
        </w:rPr>
      </w:pPr>
    </w:p>
    <w:p w:rsidR="004637CB" w:rsidRDefault="004637CB" w:rsidP="00134AD6">
      <w:pPr>
        <w:pStyle w:val="bodytextindent"/>
        <w:spacing w:before="12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Θέμα: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Έγκριση προϋπολογισμού εσόδων και εξόδων χρήσης 201</w:t>
      </w:r>
      <w:r w:rsidR="00DD67AA" w:rsidRPr="00DD67AA">
        <w:rPr>
          <w:rFonts w:ascii="Arial" w:hAnsi="Arial" w:cs="Arial"/>
          <w:b/>
          <w:sz w:val="20"/>
          <w:szCs w:val="20"/>
          <w:u w:val="single"/>
        </w:rPr>
        <w:t>8</w:t>
      </w:r>
      <w:r>
        <w:rPr>
          <w:rFonts w:ascii="Arial" w:hAnsi="Arial" w:cs="Arial"/>
          <w:b/>
          <w:sz w:val="20"/>
          <w:szCs w:val="20"/>
          <w:u w:val="single"/>
        </w:rPr>
        <w:t>.</w:t>
      </w:r>
    </w:p>
    <w:p w:rsidR="004637CB" w:rsidRDefault="004637CB" w:rsidP="00134AD6">
      <w:pPr>
        <w:pStyle w:val="bodytextindent"/>
        <w:spacing w:before="120" w:beforeAutospacing="0" w:after="0" w:afterAutospacing="0"/>
        <w:jc w:val="both"/>
        <w:rPr>
          <w:b/>
        </w:rPr>
      </w:pPr>
    </w:p>
    <w:p w:rsidR="004637CB" w:rsidRDefault="004637CB" w:rsidP="00134AD6">
      <w:pPr>
        <w:pStyle w:val="bodytextindent"/>
        <w:tabs>
          <w:tab w:val="left" w:pos="709"/>
          <w:tab w:val="left" w:pos="993"/>
        </w:tabs>
        <w:spacing w:before="120" w:beforeAutospacing="0" w:after="0" w:afterAutospacing="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Σύμφωνα με το εδάφιο θ΄ της παραγράφου 2 του άρθρου 17 του Καταστατικού, στις αρμοδιότητες της Γενικής Συνέλευσης περιλαμβάνεται και η έγκριση του ετήσιου προϋπολογισμού εσόδων και εξόδων τον οποίο καταρτίζει το Διοικητικό Συμβούλιο (άρθρο 13, παράγραφος 4, εδάφιο </w:t>
      </w:r>
      <w:r w:rsidR="00F47EF2">
        <w:rPr>
          <w:rFonts w:ascii="Arial" w:hAnsi="Arial" w:cs="Arial"/>
          <w:sz w:val="20"/>
          <w:szCs w:val="20"/>
        </w:rPr>
        <w:t>ή</w:t>
      </w:r>
      <w:r>
        <w:rPr>
          <w:rFonts w:ascii="Arial" w:hAnsi="Arial" w:cs="Arial"/>
          <w:sz w:val="20"/>
          <w:szCs w:val="20"/>
        </w:rPr>
        <w:t xml:space="preserve"> του Καταστατικού).</w:t>
      </w:r>
    </w:p>
    <w:p w:rsidR="004637CB" w:rsidRDefault="004637CB" w:rsidP="00134AD6">
      <w:pPr>
        <w:pStyle w:val="2"/>
        <w:tabs>
          <w:tab w:val="left" w:pos="709"/>
          <w:tab w:val="left" w:pos="993"/>
        </w:tabs>
        <w:spacing w:before="120" w:beforeAutospacing="0" w:after="0" w:afterAutospacing="0"/>
        <w:ind w:firstLine="426"/>
        <w:jc w:val="both"/>
      </w:pPr>
      <w:r>
        <w:rPr>
          <w:rFonts w:ascii="Arial" w:hAnsi="Arial" w:cs="Arial"/>
          <w:sz w:val="20"/>
          <w:szCs w:val="20"/>
        </w:rPr>
        <w:t xml:space="preserve">Με βάση τα υπάρχοντα συγκριτικά στοιχεία της προηγούμενης χρήσης και τη προοπτική ανάπτυξης της Τράπεζας, το Διοικητικό Συμβούλιο κατάρτισε τον προβλεπόμενο προϋπολογισμό χρήσης </w:t>
      </w:r>
      <w:r w:rsidRPr="00C8250A">
        <w:rPr>
          <w:rFonts w:ascii="Arial" w:hAnsi="Arial" w:cs="Arial"/>
          <w:sz w:val="20"/>
          <w:szCs w:val="20"/>
        </w:rPr>
        <w:t>201</w:t>
      </w:r>
      <w:r w:rsidR="00DD67AA" w:rsidRPr="00DD67A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, τον οποίο θέτει προς έγκριση στη Γενική Συνέλευση αφού ληφθούν υπόψη τα ακόλουθα:</w:t>
      </w:r>
    </w:p>
    <w:p w:rsidR="004637CB" w:rsidRDefault="004637CB" w:rsidP="00134AD6">
      <w:pPr>
        <w:pStyle w:val="2"/>
        <w:tabs>
          <w:tab w:val="left" w:pos="709"/>
          <w:tab w:val="left" w:pos="993"/>
        </w:tabs>
        <w:spacing w:before="120" w:beforeAutospacing="0" w:after="0" w:afterAutospacing="0"/>
        <w:ind w:firstLine="426"/>
        <w:jc w:val="both"/>
      </w:pPr>
    </w:p>
    <w:p w:rsidR="004637CB" w:rsidRDefault="004637CB" w:rsidP="00134AD6">
      <w:pPr>
        <w:tabs>
          <w:tab w:val="left" w:pos="709"/>
          <w:tab w:val="left" w:pos="993"/>
        </w:tabs>
        <w:spacing w:before="120"/>
        <w:ind w:firstLine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α)</w:t>
      </w:r>
      <w:r>
        <w:rPr>
          <w:rFonts w:ascii="Arial" w:hAnsi="Arial"/>
          <w:sz w:val="20"/>
          <w:szCs w:val="20"/>
        </w:rPr>
        <w:tab/>
        <w:t>Ο προϋπολογισμός αποτυπώνει και στη τρέχουσα χρήση τη δυναμική της τράπεζας, που</w:t>
      </w:r>
      <w:r w:rsidRPr="00134AD6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αν και δραστηριοποιείται σε ένα δυσμενές οικονομικό και τραπεζικό περιβάλλον κατορθώνει να πραγματοποιεί τους στόχους ανάπτυξης και να διατηρεί την κερδοφορία της. </w:t>
      </w:r>
    </w:p>
    <w:p w:rsidR="004637CB" w:rsidRDefault="004637CB" w:rsidP="00134AD6">
      <w:pPr>
        <w:tabs>
          <w:tab w:val="left" w:pos="709"/>
          <w:tab w:val="left" w:pos="993"/>
        </w:tabs>
        <w:spacing w:before="120"/>
        <w:ind w:firstLine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Σ’ αυτό το πλαίσιο ο προϋπολογισμός καταγράφει:</w:t>
      </w:r>
    </w:p>
    <w:p w:rsidR="004637CB" w:rsidRPr="00C8250A" w:rsidRDefault="004637CB" w:rsidP="00134AD6">
      <w:pPr>
        <w:tabs>
          <w:tab w:val="left" w:pos="709"/>
          <w:tab w:val="left" w:pos="993"/>
        </w:tabs>
        <w:spacing w:before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sym w:font="Symbol" w:char="F0B7"/>
      </w:r>
      <w:r>
        <w:rPr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Την επίδραση στα έσοδα από τόκους </w:t>
      </w:r>
      <w:r w:rsidR="00FC1C40">
        <w:rPr>
          <w:rFonts w:ascii="Arial" w:hAnsi="Arial" w:cs="Arial"/>
          <w:sz w:val="20"/>
          <w:szCs w:val="20"/>
        </w:rPr>
        <w:t>λόγω</w:t>
      </w:r>
      <w:r w:rsidR="00165EAC">
        <w:rPr>
          <w:rFonts w:ascii="Arial" w:hAnsi="Arial" w:cs="Arial"/>
          <w:sz w:val="20"/>
          <w:szCs w:val="20"/>
        </w:rPr>
        <w:t xml:space="preserve"> της γενικής μείωσης του επιπέδου των επιτοκίων</w:t>
      </w:r>
      <w:r w:rsidR="00C814CC">
        <w:rPr>
          <w:rFonts w:ascii="Arial" w:hAnsi="Arial" w:cs="Arial"/>
          <w:sz w:val="20"/>
          <w:szCs w:val="20"/>
        </w:rPr>
        <w:t xml:space="preserve"> </w:t>
      </w:r>
      <w:r w:rsidR="00C814CC" w:rsidRPr="00C8250A">
        <w:rPr>
          <w:rFonts w:ascii="Arial" w:hAnsi="Arial" w:cs="Arial"/>
          <w:sz w:val="20"/>
          <w:szCs w:val="20"/>
        </w:rPr>
        <w:t xml:space="preserve">και της </w:t>
      </w:r>
      <w:r w:rsidR="00C8250A" w:rsidRPr="00C8250A">
        <w:rPr>
          <w:rFonts w:ascii="Arial" w:hAnsi="Arial" w:cs="Arial"/>
          <w:sz w:val="20"/>
          <w:szCs w:val="20"/>
        </w:rPr>
        <w:t>μη απόδοσης σε έσοδα των χορηγήσεων σε καθυστέρηση.</w:t>
      </w:r>
    </w:p>
    <w:p w:rsidR="004637CB" w:rsidRDefault="004637CB" w:rsidP="00134AD6">
      <w:pPr>
        <w:tabs>
          <w:tab w:val="left" w:pos="709"/>
          <w:tab w:val="left" w:pos="993"/>
        </w:tabs>
        <w:spacing w:before="120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sym w:font="Symbol" w:char="F0B7"/>
      </w:r>
      <w:r>
        <w:rPr>
          <w:sz w:val="20"/>
          <w:szCs w:val="20"/>
        </w:rPr>
        <w:tab/>
      </w:r>
      <w:r w:rsidR="00165EAC">
        <w:rPr>
          <w:rFonts w:ascii="Arial" w:hAnsi="Arial" w:cs="Arial"/>
          <w:sz w:val="20"/>
          <w:szCs w:val="20"/>
        </w:rPr>
        <w:t xml:space="preserve">Τον περιορισμό </w:t>
      </w:r>
      <w:r>
        <w:rPr>
          <w:rFonts w:ascii="Arial" w:hAnsi="Arial" w:cs="Arial"/>
          <w:sz w:val="20"/>
          <w:szCs w:val="20"/>
        </w:rPr>
        <w:t>των εξόδων από τόκους καταθέσεων, που είναι η σημαντικότερη πηγή κεφαλαίων της Τράπεζας</w:t>
      </w:r>
      <w:r w:rsidR="00165EAC">
        <w:rPr>
          <w:rFonts w:ascii="Arial" w:hAnsi="Arial" w:cs="Arial"/>
          <w:sz w:val="20"/>
          <w:szCs w:val="20"/>
        </w:rPr>
        <w:t>,</w:t>
      </w:r>
      <w:r w:rsidR="00165EAC" w:rsidRPr="00165EAC">
        <w:rPr>
          <w:rFonts w:ascii="Arial" w:hAnsi="Arial" w:cs="Arial"/>
          <w:sz w:val="20"/>
          <w:szCs w:val="20"/>
        </w:rPr>
        <w:t xml:space="preserve"> </w:t>
      </w:r>
      <w:r w:rsidR="00165EAC">
        <w:rPr>
          <w:rFonts w:ascii="Arial" w:hAnsi="Arial" w:cs="Arial"/>
          <w:sz w:val="20"/>
          <w:szCs w:val="20"/>
        </w:rPr>
        <w:t>λόγω της γενικής μείωσης του επιπέδου των επιτοκίων</w:t>
      </w:r>
      <w:r w:rsidR="00C814CC">
        <w:rPr>
          <w:rFonts w:ascii="Arial" w:hAnsi="Arial" w:cs="Arial"/>
          <w:sz w:val="20"/>
          <w:szCs w:val="20"/>
        </w:rPr>
        <w:t xml:space="preserve">, </w:t>
      </w:r>
      <w:r w:rsidR="00FF0645">
        <w:rPr>
          <w:rFonts w:ascii="Arial" w:hAnsi="Arial" w:cs="Arial"/>
          <w:sz w:val="20"/>
          <w:szCs w:val="20"/>
        </w:rPr>
        <w:t>παρά του ότι αναμένεται αύξηση του υπολοίπου</w:t>
      </w:r>
      <w:r w:rsidR="008B6193">
        <w:rPr>
          <w:rFonts w:ascii="Arial" w:hAnsi="Arial" w:cs="Arial"/>
          <w:sz w:val="20"/>
          <w:szCs w:val="20"/>
        </w:rPr>
        <w:t xml:space="preserve"> των καταθέσεων</w:t>
      </w:r>
      <w:r w:rsidR="00FF0645">
        <w:rPr>
          <w:rFonts w:ascii="Arial" w:hAnsi="Arial" w:cs="Arial"/>
          <w:sz w:val="20"/>
          <w:szCs w:val="20"/>
        </w:rPr>
        <w:t>.</w:t>
      </w:r>
    </w:p>
    <w:p w:rsidR="008B6193" w:rsidRPr="00F47EF2" w:rsidRDefault="008B6193" w:rsidP="00134AD6">
      <w:pPr>
        <w:tabs>
          <w:tab w:val="left" w:pos="709"/>
          <w:tab w:val="left" w:pos="993"/>
        </w:tabs>
        <w:spacing w:before="120"/>
        <w:ind w:firstLine="426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sym w:font="Symbol" w:char="F0B7"/>
      </w:r>
      <w:r>
        <w:rPr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Τη συνεχή διεύρυνση των εσόδων προμηθειών λόγω της διεύρυνσης των παρεχόμενων υπηρεσιών και όσον αφορά τα παρεχόμενα προϊόντα και όσον αφορά </w:t>
      </w:r>
      <w:r w:rsidR="00450B8C">
        <w:rPr>
          <w:rFonts w:ascii="Arial" w:hAnsi="Arial" w:cs="Arial"/>
          <w:sz w:val="20"/>
          <w:szCs w:val="20"/>
        </w:rPr>
        <w:t>τους όγκους</w:t>
      </w:r>
      <w:r>
        <w:rPr>
          <w:rFonts w:ascii="Arial" w:hAnsi="Arial" w:cs="Arial"/>
          <w:sz w:val="20"/>
          <w:szCs w:val="20"/>
        </w:rPr>
        <w:t xml:space="preserve"> εργασιών. </w:t>
      </w:r>
    </w:p>
    <w:p w:rsidR="004637CB" w:rsidRDefault="004637CB" w:rsidP="00134AD6">
      <w:pPr>
        <w:tabs>
          <w:tab w:val="left" w:pos="709"/>
          <w:tab w:val="left" w:pos="993"/>
        </w:tabs>
        <w:spacing w:before="120"/>
        <w:ind w:firstLine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sym w:font="Symbol" w:char="F0B7"/>
      </w:r>
      <w:r>
        <w:rPr>
          <w:rFonts w:ascii="Arial" w:hAnsi="Arial"/>
          <w:sz w:val="20"/>
          <w:szCs w:val="20"/>
        </w:rPr>
        <w:tab/>
        <w:t>Τη εντεινόμενη προσπάθεια για τη σταθεροποίηση και τον περιορισμό των δαπανών λειτουργίας, παρά το ότι η Τράπεζα αφενός διευρύνει συνεχώς τις εργασίες της και αφετέρου εξελίσσεται οργανωτικά για να ανταποκριθεί στις προκλήσει</w:t>
      </w:r>
      <w:r w:rsidR="00FF724D">
        <w:rPr>
          <w:rFonts w:ascii="Arial" w:hAnsi="Arial"/>
          <w:sz w:val="20"/>
          <w:szCs w:val="20"/>
        </w:rPr>
        <w:t>ς του οικονομικού περιβάλλοντος και τις απαιτήσεις του θεσμικού και εποπτικού πλαισίου.</w:t>
      </w:r>
    </w:p>
    <w:p w:rsidR="004637CB" w:rsidRDefault="004637CB" w:rsidP="00134AD6">
      <w:pPr>
        <w:tabs>
          <w:tab w:val="left" w:pos="709"/>
          <w:tab w:val="left" w:pos="993"/>
        </w:tabs>
        <w:spacing w:before="120"/>
        <w:ind w:firstLine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</w:t>
      </w:r>
    </w:p>
    <w:p w:rsidR="004637CB" w:rsidRDefault="004637CB" w:rsidP="00134AD6">
      <w:pPr>
        <w:pStyle w:val="3"/>
        <w:tabs>
          <w:tab w:val="left" w:pos="709"/>
          <w:tab w:val="left" w:pos="993"/>
        </w:tabs>
        <w:spacing w:before="120" w:beforeAutospacing="0" w:after="0" w:afterAutospacing="0"/>
        <w:ind w:firstLine="440"/>
        <w:jc w:val="both"/>
      </w:pPr>
      <w:r>
        <w:rPr>
          <w:rFonts w:ascii="Arial" w:hAnsi="Arial" w:cs="Arial"/>
          <w:sz w:val="20"/>
          <w:szCs w:val="20"/>
        </w:rPr>
        <w:t>β)  Ο προσδιορισμός του ύψους των μεγεθών έγινε με αυστηρότητα από ειδική επιτροπή στην οποία συμμετείχαν μέλη του Διοικητικού Συμβουλίου και Υπηρεσιακοί παράγοντες. Τηρήθηκε η ίδια μεθοδολογία όπως και στις προηγούμενες χρήσεις, με ανάλυση της κάθε κατηγορίας αποτελεσματικών λογαριασμών ξεχωριστά και συντηρητική αντιμετώπιση των μεγεθών ιδιαίτερα των εσόδων. Η αξιοπιστία των διαδικασιών κατάρτισης του προϋπολογισμού και η προσήλωση στην εκτέλεσή του καταγράφεται σε όλους τους μέχρι σήμερα απολογισμούς, όπου στο συγκριτικό πίνακα προϋπολογισμού και απολογισμού εσόδων – εξόδων της χρήσης αποτυπώνονται οι μικρές αποκλίσεις σε κάθε κατηγορία.</w:t>
      </w:r>
      <w:r w:rsidR="00C814CC">
        <w:rPr>
          <w:rFonts w:ascii="Arial" w:hAnsi="Arial" w:cs="Arial"/>
          <w:sz w:val="20"/>
          <w:szCs w:val="20"/>
        </w:rPr>
        <w:t xml:space="preserve"> </w:t>
      </w:r>
    </w:p>
    <w:p w:rsidR="004637CB" w:rsidRDefault="004637CB" w:rsidP="00134AD6">
      <w:pPr>
        <w:pStyle w:val="3"/>
        <w:tabs>
          <w:tab w:val="left" w:pos="709"/>
          <w:tab w:val="left" w:pos="993"/>
        </w:tabs>
        <w:spacing w:before="120" w:beforeAutospacing="0" w:after="0" w:afterAutospacing="0"/>
        <w:jc w:val="both"/>
      </w:pPr>
    </w:p>
    <w:p w:rsidR="00222E03" w:rsidRDefault="004637CB" w:rsidP="00222E03">
      <w:pPr>
        <w:tabs>
          <w:tab w:val="left" w:pos="709"/>
          <w:tab w:val="left" w:pos="993"/>
        </w:tabs>
        <w:spacing w:before="120"/>
        <w:ind w:firstLine="4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γ)</w:t>
      </w:r>
      <w:r>
        <w:rPr>
          <w:rFonts w:ascii="Arial" w:hAnsi="Arial"/>
          <w:sz w:val="20"/>
          <w:szCs w:val="20"/>
        </w:rPr>
        <w:tab/>
        <w:t xml:space="preserve">Για λόγους λειτουργικούς και για την αντιμετώπιση των ειδικών συνθηκών που έχουν διαμορφωθεί στην Ελληνική οικονομία και στο Τραπεζικό σύστημα, ζητείται από το Σώμα η έγκριση του προϋπολογισμού να εμπεριέχει  και εξουσιοδότηση προς το Διοικητικό Συμβούλιο για έγκριση αποκλίσεων έως ποσοστό </w:t>
      </w:r>
      <w:r w:rsidR="00C814CC" w:rsidRPr="00C8250A">
        <w:rPr>
          <w:rFonts w:ascii="Arial" w:hAnsi="Arial"/>
          <w:sz w:val="20"/>
          <w:szCs w:val="20"/>
        </w:rPr>
        <w:t>5</w:t>
      </w:r>
      <w:r w:rsidRPr="00C8250A">
        <w:rPr>
          <w:rFonts w:ascii="Arial" w:hAnsi="Arial"/>
          <w:sz w:val="20"/>
          <w:szCs w:val="20"/>
        </w:rPr>
        <w:t>0%</w:t>
      </w:r>
      <w:r>
        <w:rPr>
          <w:rFonts w:ascii="Arial" w:hAnsi="Arial"/>
          <w:sz w:val="20"/>
          <w:szCs w:val="20"/>
        </w:rPr>
        <w:t xml:space="preserve"> στα επιμέρους αναγραφόμενα κονδύλια, εκτός των προβλέψεων για επισφαλείς απαιτήσεις στις οποίες ζητείται δυνατότητα αύξησής τους σε ποσοστό έως και 200%. </w:t>
      </w:r>
    </w:p>
    <w:p w:rsidR="008B6193" w:rsidRDefault="008B6193" w:rsidP="00222E03">
      <w:pPr>
        <w:tabs>
          <w:tab w:val="left" w:pos="709"/>
          <w:tab w:val="left" w:pos="993"/>
        </w:tabs>
        <w:spacing w:before="120"/>
        <w:ind w:firstLine="440"/>
        <w:jc w:val="both"/>
        <w:rPr>
          <w:rFonts w:ascii="Arial" w:hAnsi="Arial"/>
          <w:sz w:val="20"/>
          <w:szCs w:val="20"/>
        </w:rPr>
      </w:pPr>
    </w:p>
    <w:p w:rsidR="00222E03" w:rsidRDefault="00222E03" w:rsidP="00222E03">
      <w:pPr>
        <w:tabs>
          <w:tab w:val="left" w:pos="709"/>
          <w:tab w:val="left" w:pos="993"/>
        </w:tabs>
        <w:spacing w:before="120"/>
        <w:ind w:firstLine="44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Ο πίνακας των εσόδων και εξόδων της χρήσης έχει ως ακολούθως:</w:t>
      </w:r>
    </w:p>
    <w:p w:rsidR="004637CB" w:rsidRDefault="004637CB" w:rsidP="00134AD6">
      <w:pPr>
        <w:tabs>
          <w:tab w:val="left" w:pos="709"/>
          <w:tab w:val="left" w:pos="993"/>
        </w:tabs>
        <w:spacing w:before="120"/>
        <w:ind w:firstLine="426"/>
        <w:jc w:val="both"/>
        <w:rPr>
          <w:rFonts w:ascii="Arial" w:hAnsi="Arial"/>
          <w:sz w:val="20"/>
          <w:szCs w:val="20"/>
        </w:rPr>
      </w:pPr>
    </w:p>
    <w:p w:rsidR="004637CB" w:rsidRDefault="004637CB" w:rsidP="004A671A">
      <w:pPr>
        <w:tabs>
          <w:tab w:val="left" w:pos="709"/>
          <w:tab w:val="left" w:pos="993"/>
        </w:tabs>
        <w:spacing w:before="120"/>
        <w:jc w:val="both"/>
        <w:rPr>
          <w:rFonts w:ascii="Arial" w:hAnsi="Arial"/>
          <w:sz w:val="20"/>
          <w:szCs w:val="20"/>
        </w:rPr>
      </w:pPr>
    </w:p>
    <w:p w:rsidR="004637CB" w:rsidRDefault="004637CB" w:rsidP="00134AD6">
      <w:pPr>
        <w:tabs>
          <w:tab w:val="left" w:pos="709"/>
          <w:tab w:val="left" w:pos="993"/>
        </w:tabs>
        <w:spacing w:before="120"/>
        <w:ind w:firstLine="426"/>
        <w:jc w:val="both"/>
        <w:rPr>
          <w:rFonts w:ascii="Arial" w:hAnsi="Arial"/>
          <w:sz w:val="20"/>
          <w:szCs w:val="20"/>
        </w:rPr>
      </w:pPr>
    </w:p>
    <w:p w:rsidR="004637CB" w:rsidRDefault="004637CB" w:rsidP="00134AD6">
      <w:pPr>
        <w:tabs>
          <w:tab w:val="left" w:pos="709"/>
          <w:tab w:val="left" w:pos="993"/>
        </w:tabs>
        <w:spacing w:before="120"/>
        <w:ind w:firstLine="426"/>
        <w:jc w:val="both"/>
        <w:rPr>
          <w:rFonts w:ascii="Arial" w:hAnsi="Arial"/>
          <w:sz w:val="20"/>
          <w:szCs w:val="20"/>
        </w:rPr>
      </w:pPr>
    </w:p>
    <w:p w:rsidR="008B6193" w:rsidRDefault="008B6193" w:rsidP="00134AD6">
      <w:pPr>
        <w:tabs>
          <w:tab w:val="left" w:pos="709"/>
          <w:tab w:val="left" w:pos="993"/>
        </w:tabs>
        <w:spacing w:before="120"/>
        <w:ind w:firstLine="426"/>
        <w:jc w:val="both"/>
        <w:rPr>
          <w:rFonts w:ascii="Arial" w:hAnsi="Arial"/>
          <w:sz w:val="20"/>
          <w:szCs w:val="20"/>
        </w:rPr>
      </w:pPr>
    </w:p>
    <w:p w:rsidR="004637CB" w:rsidRDefault="004637CB" w:rsidP="00134AD6">
      <w:pPr>
        <w:tabs>
          <w:tab w:val="left" w:pos="709"/>
          <w:tab w:val="left" w:pos="993"/>
        </w:tabs>
        <w:spacing w:before="120"/>
        <w:ind w:firstLine="426"/>
        <w:jc w:val="both"/>
        <w:rPr>
          <w:rFonts w:ascii="Arial" w:hAnsi="Arial"/>
          <w:sz w:val="20"/>
          <w:szCs w:val="20"/>
        </w:rPr>
      </w:pPr>
    </w:p>
    <w:p w:rsidR="004637CB" w:rsidRDefault="004637CB" w:rsidP="00134AD6">
      <w:pPr>
        <w:pStyle w:val="1"/>
        <w:spacing w:before="120" w:beforeAutospacing="0" w:after="0" w:afterAutospacing="0"/>
        <w:ind w:firstLine="426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ΠΡΟΫΠΟΛΟΓΙΣΜΟΣ ΕΣΟΔΩΝ – ΕΞΟΔΩΝ ΧΡΗΣΗΣ </w:t>
      </w:r>
      <w:r w:rsidRPr="00C8250A">
        <w:rPr>
          <w:rFonts w:ascii="Arial" w:hAnsi="Arial" w:cs="Arial"/>
          <w:sz w:val="20"/>
          <w:szCs w:val="20"/>
          <w:u w:val="single"/>
        </w:rPr>
        <w:t>201</w:t>
      </w:r>
      <w:r w:rsidR="00222E03">
        <w:rPr>
          <w:rFonts w:ascii="Arial" w:hAnsi="Arial" w:cs="Arial"/>
          <w:sz w:val="20"/>
          <w:szCs w:val="20"/>
          <w:u w:val="single"/>
        </w:rPr>
        <w:t xml:space="preserve">7 (σε ευρώ </w:t>
      </w:r>
      <w:r>
        <w:rPr>
          <w:rFonts w:ascii="Arial" w:hAnsi="Arial" w:cs="Arial"/>
          <w:sz w:val="20"/>
          <w:szCs w:val="20"/>
          <w:u w:val="single"/>
        </w:rPr>
        <w:t>)</w:t>
      </w:r>
    </w:p>
    <w:tbl>
      <w:tblPr>
        <w:tblW w:w="7607" w:type="dxa"/>
        <w:tblInd w:w="100" w:type="dxa"/>
        <w:tblLook w:val="04A0" w:firstRow="1" w:lastRow="0" w:firstColumn="1" w:lastColumn="0" w:noHBand="0" w:noVBand="1"/>
      </w:tblPr>
      <w:tblGrid>
        <w:gridCol w:w="5883"/>
        <w:gridCol w:w="222"/>
        <w:gridCol w:w="222"/>
        <w:gridCol w:w="1280"/>
      </w:tblGrid>
      <w:tr w:rsidR="00FF0645" w:rsidRPr="00FF0645" w:rsidTr="008B6193">
        <w:trPr>
          <w:trHeight w:hRule="exact" w:val="425"/>
        </w:trPr>
        <w:tc>
          <w:tcPr>
            <w:tcW w:w="5883" w:type="dxa"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FF0645" w:rsidRPr="00FF0645" w:rsidRDefault="00FF0645" w:rsidP="00222E03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FF0645" w:rsidRPr="00FF0645" w:rsidTr="008B6193">
        <w:trPr>
          <w:trHeight w:hRule="exact" w:val="425"/>
        </w:trPr>
        <w:tc>
          <w:tcPr>
            <w:tcW w:w="5883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sz w:val="20"/>
                <w:szCs w:val="20"/>
              </w:rPr>
            </w:pPr>
            <w:r w:rsidRPr="00FF0645">
              <w:rPr>
                <w:rFonts w:eastAsia="Times New Roman"/>
                <w:sz w:val="20"/>
                <w:szCs w:val="20"/>
              </w:rPr>
              <w:t>Τόκοι έσοδα</w:t>
            </w: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DD67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F0645">
              <w:rPr>
                <w:rFonts w:eastAsia="Times New Roman"/>
                <w:sz w:val="20"/>
                <w:szCs w:val="20"/>
              </w:rPr>
              <w:t>8.</w:t>
            </w:r>
            <w:r w:rsidR="00DD67AA">
              <w:rPr>
                <w:rFonts w:eastAsia="Times New Roman"/>
                <w:sz w:val="20"/>
                <w:szCs w:val="20"/>
                <w:lang w:val="en-US"/>
              </w:rPr>
              <w:t>820</w:t>
            </w:r>
            <w:r w:rsidRPr="00FF0645">
              <w:rPr>
                <w:rFonts w:eastAsia="Times New Roman"/>
                <w:sz w:val="20"/>
                <w:szCs w:val="20"/>
              </w:rPr>
              <w:t>.000</w:t>
            </w:r>
          </w:p>
        </w:tc>
      </w:tr>
      <w:tr w:rsidR="00FF0645" w:rsidRPr="00FF0645" w:rsidTr="008B6193">
        <w:trPr>
          <w:trHeight w:hRule="exact" w:val="425"/>
        </w:trPr>
        <w:tc>
          <w:tcPr>
            <w:tcW w:w="5883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sz w:val="20"/>
                <w:szCs w:val="20"/>
              </w:rPr>
            </w:pPr>
            <w:r w:rsidRPr="00FF0645">
              <w:rPr>
                <w:rFonts w:eastAsia="Times New Roman"/>
                <w:sz w:val="20"/>
                <w:szCs w:val="20"/>
              </w:rPr>
              <w:t>Τόκοι έξοδα</w:t>
            </w: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645" w:rsidRPr="00FF0645" w:rsidRDefault="00FF0645" w:rsidP="00DD67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F0645">
              <w:rPr>
                <w:rFonts w:eastAsia="Times New Roman"/>
                <w:sz w:val="20"/>
                <w:szCs w:val="20"/>
              </w:rPr>
              <w:t>(2.</w:t>
            </w:r>
            <w:r w:rsidR="00DD67AA">
              <w:rPr>
                <w:rFonts w:eastAsia="Times New Roman"/>
                <w:sz w:val="20"/>
                <w:szCs w:val="20"/>
                <w:lang w:val="en-US"/>
              </w:rPr>
              <w:t>710</w:t>
            </w:r>
            <w:r w:rsidRPr="00FF0645">
              <w:rPr>
                <w:rFonts w:eastAsia="Times New Roman"/>
                <w:sz w:val="20"/>
                <w:szCs w:val="20"/>
              </w:rPr>
              <w:t>.000)</w:t>
            </w:r>
          </w:p>
        </w:tc>
      </w:tr>
      <w:tr w:rsidR="00FF0645" w:rsidRPr="00FF0645" w:rsidTr="008B6193">
        <w:trPr>
          <w:trHeight w:hRule="exact" w:val="425"/>
        </w:trPr>
        <w:tc>
          <w:tcPr>
            <w:tcW w:w="5883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FF0645">
              <w:rPr>
                <w:rFonts w:eastAsia="Times New Roman"/>
                <w:b/>
                <w:bCs/>
                <w:sz w:val="20"/>
                <w:szCs w:val="20"/>
              </w:rPr>
              <w:t>ΚΑΘΑΡΑ ΕΣΟΔΑ ΑΠΟ ΤΟΚΟΥΣ</w:t>
            </w: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645" w:rsidRPr="00FF0645" w:rsidRDefault="00FF0645" w:rsidP="00DD67A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FF0645">
              <w:rPr>
                <w:rFonts w:eastAsia="Times New Roman"/>
                <w:b/>
                <w:bCs/>
                <w:sz w:val="20"/>
                <w:szCs w:val="20"/>
              </w:rPr>
              <w:t>6.1</w:t>
            </w:r>
            <w:r w:rsidR="00DD67AA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10</w:t>
            </w:r>
            <w:r w:rsidRPr="00FF0645">
              <w:rPr>
                <w:rFonts w:eastAsia="Times New Roman"/>
                <w:b/>
                <w:bCs/>
                <w:sz w:val="20"/>
                <w:szCs w:val="20"/>
              </w:rPr>
              <w:t>.000</w:t>
            </w:r>
          </w:p>
        </w:tc>
      </w:tr>
      <w:tr w:rsidR="00FF0645" w:rsidRPr="00FF0645" w:rsidTr="008B6193">
        <w:trPr>
          <w:trHeight w:hRule="exact" w:val="425"/>
        </w:trPr>
        <w:tc>
          <w:tcPr>
            <w:tcW w:w="5883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F0645" w:rsidRPr="00FF0645" w:rsidTr="008B6193">
        <w:trPr>
          <w:trHeight w:hRule="exact" w:val="425"/>
        </w:trPr>
        <w:tc>
          <w:tcPr>
            <w:tcW w:w="5883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sz w:val="20"/>
                <w:szCs w:val="20"/>
              </w:rPr>
            </w:pPr>
            <w:r w:rsidRPr="00FF0645">
              <w:rPr>
                <w:rFonts w:eastAsia="Times New Roman"/>
                <w:sz w:val="20"/>
                <w:szCs w:val="20"/>
              </w:rPr>
              <w:t>Έσοδα προμηθειών</w:t>
            </w: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DD67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F0645">
              <w:rPr>
                <w:rFonts w:eastAsia="Times New Roman"/>
                <w:sz w:val="20"/>
                <w:szCs w:val="20"/>
              </w:rPr>
              <w:t>1.</w:t>
            </w:r>
            <w:r w:rsidR="00DD67AA">
              <w:rPr>
                <w:rFonts w:eastAsia="Times New Roman"/>
                <w:sz w:val="20"/>
                <w:szCs w:val="20"/>
                <w:lang w:val="en-US"/>
              </w:rPr>
              <w:t>500</w:t>
            </w:r>
            <w:r w:rsidRPr="00FF0645">
              <w:rPr>
                <w:rFonts w:eastAsia="Times New Roman"/>
                <w:sz w:val="20"/>
                <w:szCs w:val="20"/>
              </w:rPr>
              <w:t>.000</w:t>
            </w:r>
          </w:p>
        </w:tc>
      </w:tr>
      <w:tr w:rsidR="00FF0645" w:rsidRPr="00FF0645" w:rsidTr="008B6193">
        <w:trPr>
          <w:trHeight w:hRule="exact" w:val="425"/>
        </w:trPr>
        <w:tc>
          <w:tcPr>
            <w:tcW w:w="5883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sz w:val="20"/>
                <w:szCs w:val="20"/>
              </w:rPr>
            </w:pPr>
            <w:r w:rsidRPr="00FF0645">
              <w:rPr>
                <w:rFonts w:eastAsia="Times New Roman"/>
                <w:sz w:val="20"/>
                <w:szCs w:val="20"/>
              </w:rPr>
              <w:t>Έξοδα προμηθειών</w:t>
            </w: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645" w:rsidRPr="00FF0645" w:rsidRDefault="00FF0645" w:rsidP="00DD67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F0645">
              <w:rPr>
                <w:rFonts w:eastAsia="Times New Roman"/>
                <w:sz w:val="20"/>
                <w:szCs w:val="20"/>
              </w:rPr>
              <w:t>(</w:t>
            </w:r>
            <w:r w:rsidR="00DD67AA">
              <w:rPr>
                <w:rFonts w:eastAsia="Times New Roman"/>
                <w:sz w:val="20"/>
                <w:szCs w:val="20"/>
                <w:lang w:val="en-US"/>
              </w:rPr>
              <w:t>35</w:t>
            </w:r>
            <w:r w:rsidRPr="00FF0645">
              <w:rPr>
                <w:rFonts w:eastAsia="Times New Roman"/>
                <w:sz w:val="20"/>
                <w:szCs w:val="20"/>
              </w:rPr>
              <w:t>0.000)</w:t>
            </w:r>
          </w:p>
        </w:tc>
      </w:tr>
      <w:tr w:rsidR="00FF0645" w:rsidRPr="00FF0645" w:rsidTr="008B6193">
        <w:trPr>
          <w:trHeight w:hRule="exact" w:val="425"/>
        </w:trPr>
        <w:tc>
          <w:tcPr>
            <w:tcW w:w="5883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FF0645">
              <w:rPr>
                <w:rFonts w:eastAsia="Times New Roman"/>
                <w:b/>
                <w:bCs/>
                <w:sz w:val="20"/>
                <w:szCs w:val="20"/>
              </w:rPr>
              <w:t>ΚΑΘΑΡΑ ΕΣΟΔΑ ΠΡΟΜΗΘΕΙΩΝ</w:t>
            </w: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645" w:rsidRPr="00FF0645" w:rsidRDefault="00DD67AA" w:rsidP="00222E0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DD67AA">
              <w:rPr>
                <w:rFonts w:eastAsia="Times New Roman"/>
                <w:b/>
                <w:bCs/>
                <w:sz w:val="20"/>
                <w:szCs w:val="20"/>
              </w:rPr>
              <w:t>1.</w:t>
            </w: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150</w:t>
            </w:r>
            <w:r w:rsidR="00FF0645" w:rsidRPr="00FF0645">
              <w:rPr>
                <w:rFonts w:eastAsia="Times New Roman"/>
                <w:b/>
                <w:bCs/>
                <w:sz w:val="20"/>
                <w:szCs w:val="20"/>
              </w:rPr>
              <w:t>.000</w:t>
            </w:r>
          </w:p>
        </w:tc>
      </w:tr>
      <w:tr w:rsidR="00FF0645" w:rsidRPr="00FF0645" w:rsidTr="008B6193">
        <w:trPr>
          <w:trHeight w:hRule="exact" w:val="425"/>
        </w:trPr>
        <w:tc>
          <w:tcPr>
            <w:tcW w:w="5883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F0645" w:rsidRPr="00FF0645" w:rsidTr="008B6193">
        <w:trPr>
          <w:trHeight w:hRule="exact" w:val="425"/>
        </w:trPr>
        <w:tc>
          <w:tcPr>
            <w:tcW w:w="5883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sz w:val="20"/>
                <w:szCs w:val="20"/>
              </w:rPr>
            </w:pPr>
            <w:r w:rsidRPr="00FF0645">
              <w:rPr>
                <w:rFonts w:eastAsia="Times New Roman"/>
                <w:sz w:val="20"/>
                <w:szCs w:val="20"/>
              </w:rPr>
              <w:t>Έσοδα από μερίσματα</w:t>
            </w: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F0645">
              <w:rPr>
                <w:rFonts w:eastAsia="Times New Roman"/>
                <w:sz w:val="20"/>
                <w:szCs w:val="20"/>
              </w:rPr>
              <w:t>1.000</w:t>
            </w:r>
          </w:p>
        </w:tc>
      </w:tr>
      <w:tr w:rsidR="00FF0645" w:rsidRPr="00FF0645" w:rsidTr="008B6193">
        <w:trPr>
          <w:trHeight w:hRule="exact" w:val="425"/>
        </w:trPr>
        <w:tc>
          <w:tcPr>
            <w:tcW w:w="5883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sz w:val="20"/>
                <w:szCs w:val="20"/>
              </w:rPr>
            </w:pPr>
            <w:r w:rsidRPr="00FF0645">
              <w:rPr>
                <w:rFonts w:eastAsia="Times New Roman"/>
                <w:sz w:val="20"/>
                <w:szCs w:val="20"/>
              </w:rPr>
              <w:t>Λοιπά λειτουργικά αποτελέσματα</w:t>
            </w: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645" w:rsidRPr="00FF0645" w:rsidRDefault="00DD67AA" w:rsidP="00222E03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69</w:t>
            </w:r>
            <w:r w:rsidR="00FF0645" w:rsidRPr="00FF0645">
              <w:rPr>
                <w:rFonts w:eastAsia="Times New Roman"/>
                <w:sz w:val="20"/>
                <w:szCs w:val="20"/>
              </w:rPr>
              <w:t>.000</w:t>
            </w:r>
          </w:p>
        </w:tc>
      </w:tr>
      <w:tr w:rsidR="00FF0645" w:rsidRPr="00FF0645" w:rsidTr="008B6193">
        <w:trPr>
          <w:trHeight w:hRule="exact" w:val="425"/>
        </w:trPr>
        <w:tc>
          <w:tcPr>
            <w:tcW w:w="5883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FF0645">
              <w:rPr>
                <w:rFonts w:eastAsia="Times New Roman"/>
                <w:b/>
                <w:bCs/>
                <w:sz w:val="20"/>
                <w:szCs w:val="20"/>
              </w:rPr>
              <w:t>ΣΥΝΟΛΟ ΚΑΘΑΡΩΝ ΕΣΟΔΩΝ</w:t>
            </w: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F0645" w:rsidRPr="00FF0645" w:rsidRDefault="00FF0645" w:rsidP="00DD67A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FF0645">
              <w:rPr>
                <w:rFonts w:eastAsia="Times New Roman"/>
                <w:b/>
                <w:bCs/>
                <w:sz w:val="20"/>
                <w:szCs w:val="20"/>
              </w:rPr>
              <w:t>7.</w:t>
            </w:r>
            <w:r w:rsidR="00DD67AA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330</w:t>
            </w:r>
            <w:r w:rsidRPr="00FF0645">
              <w:rPr>
                <w:rFonts w:eastAsia="Times New Roman"/>
                <w:b/>
                <w:bCs/>
                <w:sz w:val="20"/>
                <w:szCs w:val="20"/>
              </w:rPr>
              <w:t>.000</w:t>
            </w:r>
          </w:p>
        </w:tc>
      </w:tr>
      <w:tr w:rsidR="00FF0645" w:rsidRPr="00FF0645" w:rsidTr="008B6193">
        <w:trPr>
          <w:trHeight w:hRule="exact" w:val="425"/>
        </w:trPr>
        <w:tc>
          <w:tcPr>
            <w:tcW w:w="5883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  <w:tr w:rsidR="00FF0645" w:rsidRPr="00FF0645" w:rsidTr="008B6193">
        <w:trPr>
          <w:trHeight w:hRule="exact" w:val="425"/>
        </w:trPr>
        <w:tc>
          <w:tcPr>
            <w:tcW w:w="5883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sz w:val="20"/>
                <w:szCs w:val="20"/>
              </w:rPr>
            </w:pPr>
            <w:r w:rsidRPr="00FF0645">
              <w:rPr>
                <w:rFonts w:eastAsia="Times New Roman"/>
                <w:sz w:val="20"/>
                <w:szCs w:val="20"/>
              </w:rPr>
              <w:t>Αμοιβές και έξοδα προσωπικού</w:t>
            </w: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F0645" w:rsidRPr="00FF0645" w:rsidRDefault="00DD67AA" w:rsidP="00DD67A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(3</w:t>
            </w:r>
            <w:r w:rsidR="00FF0645" w:rsidRPr="00FF0645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  <w:lang w:val="en-US"/>
              </w:rPr>
              <w:t>170</w:t>
            </w:r>
            <w:r w:rsidR="00FF0645" w:rsidRPr="00FF0645">
              <w:rPr>
                <w:rFonts w:eastAsia="Times New Roman"/>
                <w:sz w:val="20"/>
                <w:szCs w:val="20"/>
              </w:rPr>
              <w:t>.000)</w:t>
            </w:r>
          </w:p>
        </w:tc>
      </w:tr>
      <w:tr w:rsidR="00FF0645" w:rsidRPr="00FF0645" w:rsidTr="008B6193">
        <w:trPr>
          <w:trHeight w:hRule="exact" w:val="425"/>
        </w:trPr>
        <w:tc>
          <w:tcPr>
            <w:tcW w:w="5883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sz w:val="20"/>
                <w:szCs w:val="20"/>
              </w:rPr>
            </w:pPr>
            <w:r w:rsidRPr="00FF0645">
              <w:rPr>
                <w:rFonts w:eastAsia="Times New Roman"/>
                <w:sz w:val="20"/>
                <w:szCs w:val="20"/>
              </w:rPr>
              <w:t>Λειτουργικά έξοδα</w:t>
            </w: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DD67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F0645">
              <w:rPr>
                <w:rFonts w:eastAsia="Times New Roman"/>
                <w:sz w:val="20"/>
                <w:szCs w:val="20"/>
              </w:rPr>
              <w:t>(1.</w:t>
            </w:r>
            <w:r w:rsidR="00DD67AA">
              <w:rPr>
                <w:rFonts w:eastAsia="Times New Roman"/>
                <w:sz w:val="20"/>
                <w:szCs w:val="20"/>
                <w:lang w:val="en-US"/>
              </w:rPr>
              <w:t>610</w:t>
            </w:r>
            <w:r w:rsidRPr="00FF0645">
              <w:rPr>
                <w:rFonts w:eastAsia="Times New Roman"/>
                <w:sz w:val="20"/>
                <w:szCs w:val="20"/>
              </w:rPr>
              <w:t>.000)</w:t>
            </w:r>
          </w:p>
        </w:tc>
      </w:tr>
      <w:tr w:rsidR="00FF0645" w:rsidRPr="00FF0645" w:rsidTr="008B6193">
        <w:trPr>
          <w:trHeight w:hRule="exact" w:val="425"/>
        </w:trPr>
        <w:tc>
          <w:tcPr>
            <w:tcW w:w="5883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sz w:val="20"/>
                <w:szCs w:val="20"/>
              </w:rPr>
            </w:pPr>
            <w:r w:rsidRPr="00FF0645">
              <w:rPr>
                <w:rFonts w:eastAsia="Times New Roman"/>
                <w:sz w:val="20"/>
                <w:szCs w:val="20"/>
              </w:rPr>
              <w:t>Αποσβέσεις</w:t>
            </w: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645" w:rsidRPr="00FF0645" w:rsidRDefault="00FF0645" w:rsidP="00DD67AA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F0645">
              <w:rPr>
                <w:rFonts w:eastAsia="Times New Roman"/>
                <w:sz w:val="20"/>
                <w:szCs w:val="20"/>
              </w:rPr>
              <w:t>(5</w:t>
            </w:r>
            <w:r w:rsidR="00DD67AA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Pr="00FF0645">
              <w:rPr>
                <w:rFonts w:eastAsia="Times New Roman"/>
                <w:sz w:val="20"/>
                <w:szCs w:val="20"/>
              </w:rPr>
              <w:t>0.000)</w:t>
            </w:r>
          </w:p>
        </w:tc>
      </w:tr>
      <w:tr w:rsidR="00FF0645" w:rsidRPr="00FF0645" w:rsidTr="008B6193">
        <w:trPr>
          <w:trHeight w:hRule="exact" w:val="425"/>
        </w:trPr>
        <w:tc>
          <w:tcPr>
            <w:tcW w:w="5883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FF0645">
              <w:rPr>
                <w:rFonts w:eastAsia="Times New Roman"/>
                <w:b/>
                <w:bCs/>
                <w:sz w:val="20"/>
                <w:szCs w:val="20"/>
              </w:rPr>
              <w:t>ΣΥΝΟΛΟ ΛΕΙΤΟΥΡΓΙΚΩΝ ΕΞΟΔΩΝ ΠΡΟ ΠΡΟΒΛΕΨΕΩΝ</w:t>
            </w: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645" w:rsidRPr="00FF0645" w:rsidRDefault="00FF0645" w:rsidP="00DD67A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 w:rsidRPr="00FF0645">
              <w:rPr>
                <w:rFonts w:eastAsia="Times New Roman"/>
                <w:b/>
                <w:bCs/>
                <w:sz w:val="20"/>
                <w:szCs w:val="20"/>
              </w:rPr>
              <w:t>(5.</w:t>
            </w:r>
            <w:r w:rsidR="00DD67AA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330</w:t>
            </w:r>
            <w:r w:rsidRPr="00FF0645">
              <w:rPr>
                <w:rFonts w:eastAsia="Times New Roman"/>
                <w:b/>
                <w:bCs/>
                <w:sz w:val="20"/>
                <w:szCs w:val="20"/>
              </w:rPr>
              <w:t>.000)</w:t>
            </w:r>
          </w:p>
        </w:tc>
      </w:tr>
      <w:tr w:rsidR="00FF0645" w:rsidRPr="00FF0645" w:rsidTr="008B6193">
        <w:trPr>
          <w:trHeight w:hRule="exact" w:val="425"/>
        </w:trPr>
        <w:tc>
          <w:tcPr>
            <w:tcW w:w="5883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F0645" w:rsidRPr="00FF0645" w:rsidTr="008B6193">
        <w:trPr>
          <w:trHeight w:hRule="exact" w:val="425"/>
        </w:trPr>
        <w:tc>
          <w:tcPr>
            <w:tcW w:w="6105" w:type="dxa"/>
            <w:gridSpan w:val="2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FF0645">
              <w:rPr>
                <w:rFonts w:eastAsia="Times New Roman"/>
                <w:b/>
                <w:bCs/>
                <w:sz w:val="20"/>
                <w:szCs w:val="20"/>
              </w:rPr>
              <w:t>ΛΕΙΤΟΥΡΓΙΚΑ ΚΕΡΔΗ ΠΡΟ ΠΡΟΒΛΕΨΕΩΝ, ΑΠΟΜΕΙΩΣΕΩΝ ΚΑΙ ΦΟΡΩΝ</w:t>
            </w: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F0645" w:rsidRPr="00FF0645" w:rsidRDefault="00DD67AA" w:rsidP="00DD67AA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2.00</w:t>
            </w:r>
            <w:r w:rsidR="00FF0645" w:rsidRPr="00FF0645">
              <w:rPr>
                <w:rFonts w:eastAsia="Times New Roman"/>
                <w:b/>
                <w:bCs/>
                <w:sz w:val="20"/>
                <w:szCs w:val="20"/>
              </w:rPr>
              <w:t>0.000</w:t>
            </w:r>
          </w:p>
        </w:tc>
      </w:tr>
      <w:tr w:rsidR="00FF0645" w:rsidRPr="00FF0645" w:rsidTr="008B6193">
        <w:trPr>
          <w:trHeight w:hRule="exact" w:val="425"/>
        </w:trPr>
        <w:tc>
          <w:tcPr>
            <w:tcW w:w="5883" w:type="dxa"/>
            <w:shd w:val="clear" w:color="auto" w:fill="auto"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F0645" w:rsidRPr="00FF0645" w:rsidTr="008B6193">
        <w:trPr>
          <w:trHeight w:hRule="exact" w:val="425"/>
        </w:trPr>
        <w:tc>
          <w:tcPr>
            <w:tcW w:w="5883" w:type="dxa"/>
            <w:shd w:val="clear" w:color="auto" w:fill="auto"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sz w:val="20"/>
                <w:szCs w:val="20"/>
              </w:rPr>
            </w:pPr>
            <w:r w:rsidRPr="00FF0645">
              <w:rPr>
                <w:rFonts w:eastAsia="Times New Roman"/>
                <w:sz w:val="20"/>
                <w:szCs w:val="20"/>
              </w:rPr>
              <w:lastRenderedPageBreak/>
              <w:t>Φορολογικές προβλέψεις 1% επί των χορηγήσεων</w:t>
            </w: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FF0645">
              <w:rPr>
                <w:rFonts w:eastAsia="Times New Roman"/>
                <w:sz w:val="20"/>
                <w:szCs w:val="20"/>
              </w:rPr>
              <w:t>(1.200.000)</w:t>
            </w:r>
          </w:p>
        </w:tc>
      </w:tr>
      <w:tr w:rsidR="00222E03" w:rsidRPr="00FF0645" w:rsidTr="008B6193">
        <w:trPr>
          <w:trHeight w:hRule="exact" w:val="425"/>
        </w:trPr>
        <w:tc>
          <w:tcPr>
            <w:tcW w:w="5883" w:type="dxa"/>
            <w:shd w:val="clear" w:color="auto" w:fill="auto"/>
            <w:noWrap/>
            <w:vAlign w:val="center"/>
            <w:hideMark/>
          </w:tcPr>
          <w:p w:rsidR="00222E03" w:rsidRPr="00FF0645" w:rsidRDefault="00222E03" w:rsidP="00222E0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222E03" w:rsidRPr="00FF0645" w:rsidRDefault="00222E03" w:rsidP="00222E0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222E03" w:rsidRPr="00FF0645" w:rsidRDefault="00222E03" w:rsidP="00222E0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222E03" w:rsidRPr="00FF0645" w:rsidRDefault="00222E03" w:rsidP="00222E0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F0645" w:rsidRPr="00FF0645" w:rsidTr="008B6193">
        <w:trPr>
          <w:trHeight w:hRule="exact" w:val="425"/>
        </w:trPr>
        <w:tc>
          <w:tcPr>
            <w:tcW w:w="5883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FF0645">
              <w:rPr>
                <w:rFonts w:eastAsia="Times New Roman"/>
                <w:b/>
                <w:bCs/>
                <w:sz w:val="20"/>
                <w:szCs w:val="20"/>
              </w:rPr>
              <w:t>ΚΕΡΔΗ ΠΡΟ ΦΟΡΩΝ</w:t>
            </w: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222E03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F0645" w:rsidRPr="00FF0645" w:rsidRDefault="00DD67AA" w:rsidP="00222E03">
            <w:pPr>
              <w:jc w:val="right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80</w:t>
            </w:r>
            <w:r w:rsidR="00FF0645" w:rsidRPr="00FF0645">
              <w:rPr>
                <w:rFonts w:eastAsia="Times New Roman"/>
                <w:b/>
                <w:bCs/>
                <w:sz w:val="20"/>
                <w:szCs w:val="20"/>
              </w:rPr>
              <w:t>0.000</w:t>
            </w:r>
          </w:p>
        </w:tc>
      </w:tr>
      <w:tr w:rsidR="00FF0645" w:rsidRPr="00FF0645" w:rsidTr="008B6193">
        <w:trPr>
          <w:trHeight w:hRule="exact" w:val="425"/>
        </w:trPr>
        <w:tc>
          <w:tcPr>
            <w:tcW w:w="5883" w:type="dxa"/>
            <w:shd w:val="clear" w:color="auto" w:fill="auto"/>
            <w:vAlign w:val="center"/>
            <w:hideMark/>
          </w:tcPr>
          <w:p w:rsidR="00FF0645" w:rsidRPr="00FF0645" w:rsidRDefault="00FF0645" w:rsidP="00FF064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FF0645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center"/>
            <w:hideMark/>
          </w:tcPr>
          <w:p w:rsidR="00FF0645" w:rsidRPr="00FF0645" w:rsidRDefault="00FF0645" w:rsidP="00FF0645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FF0645" w:rsidRPr="00FF0645" w:rsidRDefault="00FF0645" w:rsidP="00FF0645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637CB" w:rsidRDefault="004637CB" w:rsidP="00F916AE">
      <w:pPr>
        <w:spacing w:before="120"/>
        <w:ind w:firstLine="3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Αγαπητοί Συνεταίροι,</w:t>
      </w:r>
    </w:p>
    <w:p w:rsidR="004637CB" w:rsidRPr="000D6951" w:rsidRDefault="004637CB" w:rsidP="004A671A">
      <w:pPr>
        <w:pStyle w:val="3"/>
        <w:tabs>
          <w:tab w:val="left" w:pos="720"/>
        </w:tabs>
        <w:spacing w:before="120" w:beforeAutospacing="0" w:after="0" w:afterAutospacing="0"/>
        <w:ind w:firstLine="330"/>
        <w:jc w:val="both"/>
        <w:rPr>
          <w:rFonts w:ascii="Arial" w:hAnsi="Arial" w:cs="Arial"/>
          <w:sz w:val="20"/>
          <w:szCs w:val="20"/>
        </w:rPr>
      </w:pPr>
      <w:r w:rsidRPr="00C8250A">
        <w:rPr>
          <w:rFonts w:ascii="Arial" w:hAnsi="Arial" w:cs="Arial"/>
          <w:sz w:val="20"/>
          <w:szCs w:val="20"/>
        </w:rPr>
        <w:t xml:space="preserve">Η Τράπεζά μας </w:t>
      </w:r>
      <w:r w:rsidR="00C814CC" w:rsidRPr="00C8250A">
        <w:rPr>
          <w:rFonts w:ascii="Arial" w:hAnsi="Arial" w:cs="Arial"/>
          <w:sz w:val="20"/>
          <w:szCs w:val="20"/>
        </w:rPr>
        <w:t xml:space="preserve">για άλλη μια χρονιά παρουσίασε </w:t>
      </w:r>
      <w:r w:rsidR="00F463BE">
        <w:rPr>
          <w:rFonts w:ascii="Arial" w:hAnsi="Arial" w:cs="Arial"/>
          <w:sz w:val="20"/>
          <w:szCs w:val="20"/>
        </w:rPr>
        <w:t xml:space="preserve">θετικό </w:t>
      </w:r>
      <w:r w:rsidR="00FF0645">
        <w:rPr>
          <w:rFonts w:ascii="Arial" w:hAnsi="Arial" w:cs="Arial"/>
          <w:sz w:val="20"/>
          <w:szCs w:val="20"/>
        </w:rPr>
        <w:t>αποτέλεσμα</w:t>
      </w:r>
      <w:r w:rsidR="00C814CC" w:rsidRPr="00C8250A">
        <w:rPr>
          <w:rFonts w:ascii="Arial" w:hAnsi="Arial" w:cs="Arial"/>
          <w:sz w:val="20"/>
          <w:szCs w:val="20"/>
        </w:rPr>
        <w:t xml:space="preserve">, </w:t>
      </w:r>
      <w:r w:rsidR="0057632B">
        <w:rPr>
          <w:rFonts w:ascii="Arial" w:hAnsi="Arial" w:cs="Arial"/>
          <w:sz w:val="20"/>
          <w:szCs w:val="20"/>
        </w:rPr>
        <w:t>δραστηριοποιούμενη</w:t>
      </w:r>
      <w:r w:rsidR="00F463BE">
        <w:rPr>
          <w:rFonts w:ascii="Arial" w:hAnsi="Arial" w:cs="Arial"/>
          <w:sz w:val="20"/>
          <w:szCs w:val="20"/>
        </w:rPr>
        <w:t xml:space="preserve"> σε ένα εξαιρετικά δυσμενές </w:t>
      </w:r>
      <w:r w:rsidR="00C814CC" w:rsidRPr="00C8250A">
        <w:rPr>
          <w:rFonts w:ascii="Arial" w:hAnsi="Arial" w:cs="Arial"/>
          <w:sz w:val="20"/>
          <w:szCs w:val="20"/>
        </w:rPr>
        <w:t>περιβάλλο</w:t>
      </w:r>
      <w:r w:rsidR="00FF0645">
        <w:rPr>
          <w:rFonts w:ascii="Arial" w:hAnsi="Arial" w:cs="Arial"/>
          <w:sz w:val="20"/>
          <w:szCs w:val="20"/>
        </w:rPr>
        <w:t>ν</w:t>
      </w:r>
      <w:r w:rsidR="000D6951">
        <w:rPr>
          <w:rFonts w:ascii="Arial" w:hAnsi="Arial" w:cs="Arial"/>
          <w:sz w:val="20"/>
          <w:szCs w:val="20"/>
        </w:rPr>
        <w:t>.</w:t>
      </w:r>
    </w:p>
    <w:p w:rsidR="004637CB" w:rsidRPr="00C8250A" w:rsidRDefault="00BB09FA" w:rsidP="004A671A">
      <w:pPr>
        <w:adjustRightInd w:val="0"/>
        <w:spacing w:before="120"/>
        <w:ind w:firstLine="330"/>
        <w:jc w:val="both"/>
        <w:rPr>
          <w:rFonts w:ascii="Arial" w:hAnsi="Arial" w:cs="Arial"/>
          <w:sz w:val="20"/>
          <w:szCs w:val="20"/>
        </w:rPr>
      </w:pPr>
      <w:r w:rsidRPr="00C8250A">
        <w:rPr>
          <w:rFonts w:ascii="Arial" w:hAnsi="Arial" w:cs="Arial"/>
          <w:sz w:val="20"/>
          <w:szCs w:val="20"/>
        </w:rPr>
        <w:t>Για το 201</w:t>
      </w:r>
      <w:r w:rsidR="00DD67AA" w:rsidRPr="00DD67AA">
        <w:rPr>
          <w:rFonts w:ascii="Arial" w:hAnsi="Arial" w:cs="Arial"/>
          <w:sz w:val="20"/>
          <w:szCs w:val="20"/>
        </w:rPr>
        <w:t>8</w:t>
      </w:r>
      <w:r w:rsidRPr="00C8250A">
        <w:rPr>
          <w:rFonts w:ascii="Arial" w:hAnsi="Arial" w:cs="Arial"/>
          <w:sz w:val="20"/>
          <w:szCs w:val="20"/>
        </w:rPr>
        <w:t xml:space="preserve"> η Τράπεζα κινείται </w:t>
      </w:r>
      <w:r w:rsidR="004637CB" w:rsidRPr="00C8250A">
        <w:rPr>
          <w:rFonts w:ascii="Arial" w:hAnsi="Arial" w:cs="Arial"/>
          <w:sz w:val="20"/>
          <w:szCs w:val="20"/>
        </w:rPr>
        <w:t xml:space="preserve"> στους  ίδιους  άξονες  επιχειρησιακής  δράσης,  εντείνοντας  την προσπάθεια  για  αποτελεσματική  διαχείριση  του  πιστωτικού  κινδύνου και διατήρηση της  λειτουργικής κερδοφορίας. Παράλληλα  συνεχίζεται  η  προσεκτική  διαχείριση των πηγών και των χρήσεων των κεφαλαίων για τη διατήρηση επαρκούς ρευστότητας.</w:t>
      </w:r>
    </w:p>
    <w:p w:rsidR="004637CB" w:rsidRPr="004A671A" w:rsidRDefault="004637CB" w:rsidP="004A671A">
      <w:pPr>
        <w:adjustRightInd w:val="0"/>
        <w:spacing w:before="120"/>
        <w:ind w:firstLine="330"/>
        <w:jc w:val="both"/>
        <w:rPr>
          <w:rFonts w:ascii="Arial" w:hAnsi="Arial" w:cs="Arial"/>
          <w:sz w:val="20"/>
          <w:szCs w:val="20"/>
        </w:rPr>
      </w:pPr>
      <w:r w:rsidRPr="004A671A">
        <w:rPr>
          <w:rFonts w:ascii="Arial" w:hAnsi="Arial" w:cs="Arial"/>
          <w:sz w:val="20"/>
          <w:szCs w:val="20"/>
        </w:rPr>
        <w:t xml:space="preserve">Η Διοίκηση της Τράπεζας </w:t>
      </w:r>
      <w:r>
        <w:rPr>
          <w:rFonts w:ascii="Arial" w:hAnsi="Arial" w:cs="Arial"/>
          <w:sz w:val="20"/>
          <w:szCs w:val="20"/>
        </w:rPr>
        <w:t>και τα στελέχη έχουν</w:t>
      </w:r>
      <w:r w:rsidRPr="004A671A">
        <w:rPr>
          <w:rFonts w:ascii="Arial" w:hAnsi="Arial" w:cs="Arial"/>
          <w:sz w:val="20"/>
          <w:szCs w:val="20"/>
        </w:rPr>
        <w:t xml:space="preserve"> πλήρη συναίσθηση τόσο των ιδιαίτερων συνθηκών που θέτει το οικονομικό και τραπεζικό περιβάλλον όσο και των υψηλών προσδοκιών των πελατών - συνεταίρων. </w:t>
      </w:r>
      <w:r w:rsidRPr="004A671A">
        <w:rPr>
          <w:rFonts w:ascii="Times New Roman" w:hAnsi="Times New Roman"/>
          <w:sz w:val="20"/>
          <w:szCs w:val="20"/>
        </w:rPr>
        <w:t xml:space="preserve"> </w:t>
      </w:r>
      <w:r w:rsidRPr="004A671A">
        <w:rPr>
          <w:rFonts w:ascii="Arial" w:hAnsi="Arial" w:cs="Arial"/>
          <w:sz w:val="20"/>
          <w:szCs w:val="20"/>
        </w:rPr>
        <w:t>Έχοντας επίγνωση των περιστάσεων, η Τράπεζα θα συνεχίσει να είναι αρωγός στην προσπάθεια ανάκαμψης της τοπικής οικονομίας στηρίζοντας επιχειρήσεις και νοικοκυριά.</w:t>
      </w:r>
    </w:p>
    <w:p w:rsidR="004637CB" w:rsidRDefault="004637CB" w:rsidP="004A671A">
      <w:pPr>
        <w:spacing w:before="120"/>
        <w:ind w:firstLine="33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Ο προτεινόμενος προς ψήφιση προϋπολογισμός αφ’ ενός καταρτίστηκε με αυστηρότητα στην εκτίμηση των κονδυλίων και αφ’ ετέρου εκφράζει τη δυναμική της Τράπεζας </w:t>
      </w:r>
      <w:r w:rsidR="000D6951">
        <w:rPr>
          <w:rFonts w:ascii="Arial" w:hAnsi="Arial"/>
          <w:sz w:val="20"/>
          <w:szCs w:val="20"/>
        </w:rPr>
        <w:t>μας σε ένα αντίξοο περιβάλλον</w:t>
      </w:r>
      <w:r>
        <w:rPr>
          <w:rFonts w:ascii="Arial" w:hAnsi="Arial"/>
          <w:sz w:val="20"/>
          <w:szCs w:val="20"/>
        </w:rPr>
        <w:t>.</w:t>
      </w:r>
    </w:p>
    <w:p w:rsidR="004637CB" w:rsidRDefault="004637CB" w:rsidP="004A671A">
      <w:pPr>
        <w:spacing w:before="120"/>
        <w:ind w:firstLine="33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Σας παρακαλώ λοιπόν να τον ψηφίσετε.</w:t>
      </w:r>
    </w:p>
    <w:p w:rsidR="004637CB" w:rsidRDefault="004637CB" w:rsidP="004A671A">
      <w:pPr>
        <w:spacing w:before="120"/>
        <w:ind w:firstLine="330"/>
        <w:jc w:val="both"/>
      </w:pPr>
      <w:r>
        <w:rPr>
          <w:rFonts w:ascii="Arial" w:hAnsi="Arial"/>
          <w:sz w:val="20"/>
          <w:szCs w:val="20"/>
        </w:rPr>
        <w:t>Σας ευχαριστώ</w:t>
      </w:r>
      <w:r w:rsidR="00BB09FA">
        <w:rPr>
          <w:rFonts w:ascii="Arial" w:hAnsi="Arial"/>
          <w:sz w:val="20"/>
          <w:szCs w:val="20"/>
        </w:rPr>
        <w:t>.</w:t>
      </w:r>
    </w:p>
    <w:sectPr w:rsidR="004637CB" w:rsidSect="005C14BF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D8"/>
    <w:rsid w:val="00045802"/>
    <w:rsid w:val="00050E1C"/>
    <w:rsid w:val="000D6951"/>
    <w:rsid w:val="000D763C"/>
    <w:rsid w:val="00134AD6"/>
    <w:rsid w:val="00165EAC"/>
    <w:rsid w:val="00196E88"/>
    <w:rsid w:val="001C3CD8"/>
    <w:rsid w:val="00222E03"/>
    <w:rsid w:val="0023287A"/>
    <w:rsid w:val="002646EA"/>
    <w:rsid w:val="002E16E6"/>
    <w:rsid w:val="002E2F33"/>
    <w:rsid w:val="0038103E"/>
    <w:rsid w:val="00384BB6"/>
    <w:rsid w:val="003A69B6"/>
    <w:rsid w:val="003E2371"/>
    <w:rsid w:val="00441EFE"/>
    <w:rsid w:val="00450B8C"/>
    <w:rsid w:val="004637CB"/>
    <w:rsid w:val="004A671A"/>
    <w:rsid w:val="004C7FAD"/>
    <w:rsid w:val="005027FC"/>
    <w:rsid w:val="00525A6D"/>
    <w:rsid w:val="0057632B"/>
    <w:rsid w:val="0058233B"/>
    <w:rsid w:val="005C14BF"/>
    <w:rsid w:val="006147D3"/>
    <w:rsid w:val="00682CBB"/>
    <w:rsid w:val="006C1769"/>
    <w:rsid w:val="006C4A48"/>
    <w:rsid w:val="006E2C5B"/>
    <w:rsid w:val="00735C2E"/>
    <w:rsid w:val="0079410F"/>
    <w:rsid w:val="007A128A"/>
    <w:rsid w:val="0084271F"/>
    <w:rsid w:val="00875B56"/>
    <w:rsid w:val="00885E3A"/>
    <w:rsid w:val="008B3926"/>
    <w:rsid w:val="008B5746"/>
    <w:rsid w:val="008B6193"/>
    <w:rsid w:val="00937A15"/>
    <w:rsid w:val="009B0859"/>
    <w:rsid w:val="009C58D8"/>
    <w:rsid w:val="00A52D6C"/>
    <w:rsid w:val="00A83026"/>
    <w:rsid w:val="00A84C9C"/>
    <w:rsid w:val="00AD395C"/>
    <w:rsid w:val="00AF2109"/>
    <w:rsid w:val="00B301DF"/>
    <w:rsid w:val="00B57B7E"/>
    <w:rsid w:val="00B61D12"/>
    <w:rsid w:val="00B65C93"/>
    <w:rsid w:val="00B84B2D"/>
    <w:rsid w:val="00BB09FA"/>
    <w:rsid w:val="00BE04B2"/>
    <w:rsid w:val="00C446FF"/>
    <w:rsid w:val="00C814CC"/>
    <w:rsid w:val="00C8250A"/>
    <w:rsid w:val="00C834C8"/>
    <w:rsid w:val="00CD704C"/>
    <w:rsid w:val="00D22FCA"/>
    <w:rsid w:val="00D42CC5"/>
    <w:rsid w:val="00DD67AA"/>
    <w:rsid w:val="00E0699D"/>
    <w:rsid w:val="00E36874"/>
    <w:rsid w:val="00E56830"/>
    <w:rsid w:val="00E63707"/>
    <w:rsid w:val="00E75721"/>
    <w:rsid w:val="00F463BE"/>
    <w:rsid w:val="00F47EF2"/>
    <w:rsid w:val="00F84830"/>
    <w:rsid w:val="00F916AE"/>
    <w:rsid w:val="00F93F67"/>
    <w:rsid w:val="00FC1C40"/>
    <w:rsid w:val="00FF0645"/>
    <w:rsid w:val="00FF67D7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9DC57F-5C93-46C4-AD71-4976DBC9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8D8"/>
  </w:style>
  <w:style w:type="paragraph" w:styleId="1">
    <w:name w:val="heading 1"/>
    <w:basedOn w:val="a"/>
    <w:link w:val="1Char"/>
    <w:uiPriority w:val="99"/>
    <w:qFormat/>
    <w:rsid w:val="009C58D8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9C58D8"/>
    <w:rPr>
      <w:rFonts w:ascii="Times New Roman" w:hAnsi="Times New Roman" w:cs="Times New Roman"/>
      <w:b/>
      <w:bCs/>
      <w:kern w:val="36"/>
      <w:sz w:val="48"/>
      <w:szCs w:val="48"/>
      <w:lang w:eastAsia="el-GR"/>
    </w:rPr>
  </w:style>
  <w:style w:type="paragraph" w:styleId="2">
    <w:name w:val="Body Text Indent 2"/>
    <w:basedOn w:val="a"/>
    <w:link w:val="2Char"/>
    <w:uiPriority w:val="99"/>
    <w:semiHidden/>
    <w:rsid w:val="009C58D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2Char">
    <w:name w:val="Σώμα κείμενου με εσοχή 2 Char"/>
    <w:basedOn w:val="a0"/>
    <w:link w:val="2"/>
    <w:uiPriority w:val="99"/>
    <w:semiHidden/>
    <w:locked/>
    <w:rsid w:val="009C58D8"/>
    <w:rPr>
      <w:rFonts w:ascii="Times New Roman" w:hAnsi="Times New Roman" w:cs="Times New Roman"/>
      <w:sz w:val="24"/>
      <w:szCs w:val="24"/>
      <w:lang w:eastAsia="el-GR"/>
    </w:rPr>
  </w:style>
  <w:style w:type="paragraph" w:styleId="3">
    <w:name w:val="Body Text Indent 3"/>
    <w:basedOn w:val="a"/>
    <w:link w:val="3Char"/>
    <w:uiPriority w:val="99"/>
    <w:semiHidden/>
    <w:rsid w:val="009C58D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Char">
    <w:name w:val="Σώμα κείμενου με εσοχή 3 Char"/>
    <w:basedOn w:val="a0"/>
    <w:link w:val="3"/>
    <w:uiPriority w:val="99"/>
    <w:semiHidden/>
    <w:locked/>
    <w:rsid w:val="009C58D8"/>
    <w:rPr>
      <w:rFonts w:ascii="Times New Roman" w:hAnsi="Times New Roman" w:cs="Times New Roman"/>
      <w:sz w:val="24"/>
      <w:szCs w:val="24"/>
      <w:lang w:eastAsia="el-GR"/>
    </w:rPr>
  </w:style>
  <w:style w:type="paragraph" w:customStyle="1" w:styleId="bodytextindent">
    <w:name w:val="bodytextindent"/>
    <w:basedOn w:val="a"/>
    <w:uiPriority w:val="99"/>
    <w:rsid w:val="009C58D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0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6598B6-9B63-49F4-ACB6-96646A4A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ΣΥΝΕΤΑΙΡΙΣΤΙΚΗ ΤΡΑΠΕΖΑ ΘΕΣΣΑΛΙΑΣ</vt:lpstr>
    </vt:vector>
  </TitlesOfParts>
  <Company>Hewlett-Packard Company</Company>
  <LinksUpToDate>false</LinksUpToDate>
  <CharactersWithSpaces>4823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ΣΥΝΕΤΑΙΡΙΣΤΙΚΗ ΤΡΑΠΕΖΑ ΘΕΣΣΑΛΙΑΣ</dc:title>
  <dc:creator>osiagas</dc:creator>
  <cp:lastModifiedBy>Filio Kavoura</cp:lastModifiedBy>
  <cp:revision>2</cp:revision>
  <cp:lastPrinted>2017-07-06T10:08:00Z</cp:lastPrinted>
  <dcterms:created xsi:type="dcterms:W3CDTF">2018-07-12T09:42:00Z</dcterms:created>
  <dcterms:modified xsi:type="dcterms:W3CDTF">2018-07-12T09:42:00Z</dcterms:modified>
</cp:coreProperties>
</file>